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70E8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根据《企业事业单位环境信息公开办法》及《关于开展建设项目环境保护事中事后监管工作专项检查的通知》，我公司现向社会公开</w:t>
      </w: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中钢天源股份有限公司年产2000吨高性能钕铁硼稀土永磁材料改扩建工程（阶段性）</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竣工环境保护验收项目信息，公示期为</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10</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日。</w:t>
      </w:r>
    </w:p>
    <w:p w14:paraId="203D21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一、</w:t>
      </w: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项目基本情况</w:t>
      </w:r>
    </w:p>
    <w:p w14:paraId="3EC5EE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项目名称：年产2000吨高性能钕铁硼稀土永磁材料改扩建工程项目（阶段性）；</w:t>
      </w:r>
    </w:p>
    <w:p w14:paraId="6AF1F7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建设单位：中钢天源股份有限公司；</w:t>
      </w:r>
    </w:p>
    <w:p w14:paraId="186640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建设地点：马鞍山市经济技术开发区红旗南路51号；</w:t>
      </w:r>
    </w:p>
    <w:p w14:paraId="0E8593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建设性质：扩建；</w:t>
      </w:r>
    </w:p>
    <w:p w14:paraId="7F56A9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highlight w:val="none"/>
        </w:rPr>
      </w:pPr>
      <w:r>
        <w:rPr>
          <w:rFonts w:hint="default" w:ascii="Times New Roman" w:hAnsi="Times New Roman" w:eastAsia="仿宋_GB2312" w:cs="Times New Roman"/>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总投资：</w:t>
      </w:r>
      <w:r>
        <w:rPr>
          <w:rFonts w:hint="eastAsia" w:eastAsia="仿宋_GB2312" w:cs="Times New Roman"/>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2077</w:t>
      </w:r>
      <w:r>
        <w:rPr>
          <w:rFonts w:hint="default" w:ascii="Times New Roman" w:hAnsi="Times New Roman" w:eastAsia="仿宋_GB2312" w:cs="Times New Roman"/>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万元；</w:t>
      </w:r>
    </w:p>
    <w:p w14:paraId="793782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highlight w:val="none"/>
        </w:rPr>
      </w:pPr>
      <w:r>
        <w:rPr>
          <w:rFonts w:hint="default" w:ascii="Times New Roman" w:hAnsi="Times New Roman" w:eastAsia="仿宋_GB2312" w:cs="Times New Roman"/>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环保投资：</w:t>
      </w:r>
      <w:r>
        <w:rPr>
          <w:rFonts w:hint="eastAsia" w:eastAsia="仿宋_GB2312" w:cs="Times New Roman"/>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140</w:t>
      </w:r>
      <w:r>
        <w:rPr>
          <w:rFonts w:hint="default" w:ascii="Times New Roman" w:hAnsi="Times New Roman" w:eastAsia="仿宋_GB2312" w:cs="Times New Roman"/>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万元；</w:t>
      </w:r>
    </w:p>
    <w:p w14:paraId="3A555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生产制度：一班制生产，每班工作8h，年工作300d，年工作2400h；</w:t>
      </w:r>
    </w:p>
    <w:p w14:paraId="67CFFC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环评文件编制单位：中钢集团马鞍山矿山研究总院股份有限公司；</w:t>
      </w:r>
    </w:p>
    <w:p w14:paraId="2D920B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环评审批部门：马鞍山市生态环境局；</w:t>
      </w:r>
    </w:p>
    <w:p w14:paraId="06119E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环评审批时间：20</w:t>
      </w:r>
      <w:r>
        <w:rPr>
          <w:rFonts w:hint="eastAsia"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23</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年</w:t>
      </w:r>
      <w:r>
        <w:rPr>
          <w:rFonts w:hint="eastAsia"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月</w:t>
      </w:r>
      <w:r>
        <w:rPr>
          <w:rFonts w:hint="eastAsia"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7日；</w:t>
      </w:r>
    </w:p>
    <w:p w14:paraId="433423A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环评审批文号：马环审</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〔2023〕20号</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w:t>
      </w:r>
    </w:p>
    <w:p w14:paraId="5A5ED7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联系人：蒋莹</w:t>
      </w:r>
      <w:r>
        <w:rPr>
          <w:rFonts w:hint="eastAsia"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 xml:space="preserve">  </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18355537665</w:t>
      </w:r>
    </w:p>
    <w:p w14:paraId="51E1D1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p>
    <w:p w14:paraId="40370AEF">
      <w:pPr>
        <w:keepNext w:val="0"/>
        <w:keepLines w:val="0"/>
        <w:pageBreakBefore w:val="0"/>
        <w:widowControl/>
        <w:suppressLineNumbers w:val="0"/>
        <w:kinsoku/>
        <w:wordWrap/>
        <w:overflowPunct/>
        <w:topLinePunct w:val="0"/>
        <w:autoSpaceDE/>
        <w:autoSpaceDN/>
        <w:bidi w:val="0"/>
        <w:adjustRightInd/>
        <w:snapToGrid/>
        <w:spacing w:line="580" w:lineRule="exact"/>
        <w:ind w:firstLine="480" w:firstLineChars="200"/>
        <w:jc w:val="left"/>
        <w:textAlignment w:val="auto"/>
        <w:rPr>
          <w:rFonts w:hint="default" w:ascii="Times New Roman" w:hAnsi="Times New Roman" w:eastAsia="仿宋_GB2312" w:cs="Times New Roman"/>
        </w:rPr>
      </w:pPr>
    </w:p>
    <w:p w14:paraId="0DF7E4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2C295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sectPr>
          <w:pgSz w:w="11906" w:h="16838"/>
          <w:pgMar w:top="2098" w:right="1474" w:bottom="1984" w:left="1587" w:header="851" w:footer="992" w:gutter="0"/>
          <w:cols w:space="0" w:num="1"/>
          <w:rtlGutter w:val="0"/>
          <w:docGrid w:type="lines" w:linePitch="312" w:charSpace="0"/>
        </w:sectPr>
      </w:pPr>
    </w:p>
    <w:p w14:paraId="39B78A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二、工程建设情况</w:t>
      </w:r>
    </w:p>
    <w:p w14:paraId="07E936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项目本次验收范围由主体工程、辅助工程、公用工程、储运工程和环保工程组成。具体工程内容见表1。</w:t>
      </w:r>
    </w:p>
    <w:p w14:paraId="3C9E55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482" w:firstLineChars="200"/>
        <w:jc w:val="center"/>
        <w:textAlignment w:val="auto"/>
        <w:rPr>
          <w:rFonts w:hint="default" w:ascii="Times New Roman" w:hAnsi="Times New Roman" w:eastAsia="仿宋_GB2312" w:cs="Times New Roman"/>
          <w:i w:val="0"/>
          <w:iCs w:val="0"/>
        </w:rPr>
      </w:pP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表1项目建设内容一览表</w:t>
      </w:r>
    </w:p>
    <w:tbl>
      <w:tblPr>
        <w:tblStyle w:val="11"/>
        <w:tblW w:w="5161"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28" w:type="dxa"/>
          <w:bottom w:w="0" w:type="dxa"/>
          <w:right w:w="28" w:type="dxa"/>
        </w:tblCellMar>
      </w:tblPr>
      <w:tblGrid>
        <w:gridCol w:w="960"/>
        <w:gridCol w:w="820"/>
        <w:gridCol w:w="794"/>
        <w:gridCol w:w="4361"/>
        <w:gridCol w:w="4535"/>
        <w:gridCol w:w="1755"/>
      </w:tblGrid>
      <w:tr w14:paraId="79FB2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973" w:type="pct"/>
            <w:gridSpan w:val="3"/>
            <w:noWrap w:val="0"/>
            <w:vAlign w:val="center"/>
          </w:tcPr>
          <w:p w14:paraId="5601333B">
            <w:pPr>
              <w:widowControl/>
              <w:adjustRightInd w:val="0"/>
              <w:snapToGrid w:val="0"/>
              <w:spacing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项目名称</w:t>
            </w:r>
          </w:p>
        </w:tc>
        <w:tc>
          <w:tcPr>
            <w:tcW w:w="1648" w:type="pct"/>
            <w:noWrap w:val="0"/>
            <w:vAlign w:val="center"/>
          </w:tcPr>
          <w:p w14:paraId="10BB95F6">
            <w:pPr>
              <w:widowControl/>
              <w:adjustRightInd w:val="0"/>
              <w:snapToGrid w:val="0"/>
              <w:spacing w:line="240" w:lineRule="auto"/>
              <w:ind w:firstLine="422"/>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环评报告书要求</w:t>
            </w:r>
          </w:p>
        </w:tc>
        <w:tc>
          <w:tcPr>
            <w:tcW w:w="1714" w:type="pct"/>
            <w:noWrap w:val="0"/>
            <w:vAlign w:val="center"/>
          </w:tcPr>
          <w:p w14:paraId="60BEBCC8">
            <w:pPr>
              <w:widowControl/>
              <w:adjustRightInd w:val="0"/>
              <w:snapToGrid w:val="0"/>
              <w:spacing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实际建设情况</w:t>
            </w:r>
          </w:p>
        </w:tc>
        <w:tc>
          <w:tcPr>
            <w:tcW w:w="663" w:type="pct"/>
            <w:noWrap w:val="0"/>
            <w:vAlign w:val="center"/>
          </w:tcPr>
          <w:p w14:paraId="17453930">
            <w:pPr>
              <w:widowControl/>
              <w:adjustRightInd w:val="0"/>
              <w:snapToGrid w:val="0"/>
              <w:spacing w:line="240" w:lineRule="auto"/>
              <w:ind w:firstLine="0" w:firstLineChars="0"/>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kern w:val="0"/>
                <w:sz w:val="21"/>
                <w:szCs w:val="21"/>
              </w:rPr>
              <w:t>备注</w:t>
            </w:r>
          </w:p>
        </w:tc>
      </w:tr>
      <w:tr w14:paraId="21926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restart"/>
            <w:noWrap w:val="0"/>
            <w:vAlign w:val="center"/>
          </w:tcPr>
          <w:p w14:paraId="7E1010B4">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r>
              <w:rPr>
                <w:rFonts w:hint="default" w:ascii="Times New Roman" w:hAnsi="Times New Roman" w:eastAsia="宋体" w:cs="Times New Roman"/>
                <w:bCs/>
                <w:color w:val="auto"/>
                <w:kern w:val="0"/>
                <w:sz w:val="21"/>
                <w:szCs w:val="21"/>
              </w:rPr>
              <w:t>主体工程</w:t>
            </w:r>
          </w:p>
        </w:tc>
        <w:tc>
          <w:tcPr>
            <w:tcW w:w="610" w:type="pct"/>
            <w:gridSpan w:val="2"/>
            <w:noWrap w:val="0"/>
            <w:vAlign w:val="center"/>
          </w:tcPr>
          <w:p w14:paraId="267BCA4D">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1#厂房（机械厂房）</w:t>
            </w:r>
          </w:p>
        </w:tc>
        <w:tc>
          <w:tcPr>
            <w:tcW w:w="1648" w:type="pct"/>
            <w:noWrap w:val="0"/>
            <w:vAlign w:val="center"/>
          </w:tcPr>
          <w:p w14:paraId="248DC173">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机械厂房仍保持现有生产工艺不变，为满足新增1000吨高性能钕铁硼稀土永磁材料生产能力，在相应工序新增相应各类生产设备167台（套）</w:t>
            </w:r>
          </w:p>
        </w:tc>
        <w:tc>
          <w:tcPr>
            <w:tcW w:w="1714" w:type="pct"/>
            <w:noWrap w:val="0"/>
            <w:vAlign w:val="center"/>
          </w:tcPr>
          <w:p w14:paraId="38645328">
            <w:pPr>
              <w:pStyle w:val="32"/>
              <w:widowControl/>
              <w:spacing w:line="240" w:lineRule="auto"/>
              <w:rPr>
                <w:rFonts w:hint="default" w:ascii="Times New Roman" w:hAnsi="Times New Roman" w:eastAsia="宋体" w:cs="Times New Roman"/>
                <w:bCs/>
                <w:color w:val="auto"/>
                <w:sz w:val="21"/>
                <w:szCs w:val="21"/>
                <w:lang w:val="en-US" w:eastAsia="zh-CN"/>
              </w:rPr>
            </w:pPr>
            <w:r>
              <w:rPr>
                <w:rFonts w:hint="default" w:ascii="Times New Roman" w:hAnsi="Times New Roman" w:eastAsia="宋体" w:cs="Times New Roman"/>
                <w:bCs/>
                <w:color w:val="auto"/>
                <w:sz w:val="21"/>
                <w:szCs w:val="21"/>
                <w:lang w:val="en-US" w:eastAsia="zh-CN"/>
              </w:rPr>
              <w:t>机械厂房仍保持现有生产工艺不变，实际新增相应各类生产设备167台（套）</w:t>
            </w:r>
          </w:p>
        </w:tc>
        <w:tc>
          <w:tcPr>
            <w:tcW w:w="663" w:type="pct"/>
            <w:noWrap w:val="0"/>
            <w:vAlign w:val="center"/>
          </w:tcPr>
          <w:p w14:paraId="1C78C8C8">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2765C3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7C255A54">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6F33E048">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2#厂房（钕铁硼厂房）</w:t>
            </w:r>
          </w:p>
        </w:tc>
        <w:tc>
          <w:tcPr>
            <w:tcW w:w="1648" w:type="pct"/>
            <w:noWrap w:val="0"/>
            <w:vAlign w:val="center"/>
          </w:tcPr>
          <w:p w14:paraId="4D1A21E5">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在钕铁硼厂房现有生产工序的基础上，增加渗透单元，同时为满足新增1000吨高性能钕铁硼稀土永磁材料生产能力，在相应工序新增各类生产设备109台（套）</w:t>
            </w:r>
          </w:p>
        </w:tc>
        <w:tc>
          <w:tcPr>
            <w:tcW w:w="1714" w:type="pct"/>
            <w:noWrap w:val="0"/>
            <w:vAlign w:val="center"/>
          </w:tcPr>
          <w:p w14:paraId="35A871A9">
            <w:pPr>
              <w:pStyle w:val="31"/>
              <w:widowControl/>
              <w:spacing w:line="240" w:lineRule="auto"/>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在钕铁硼厂房现有生产工序的基础上，增加渗透单元，同时为满足新增1000吨高性能钕铁硼稀土永磁材料生产能力，在相应工序新增各类生产设备109台（套）</w:t>
            </w:r>
          </w:p>
        </w:tc>
        <w:tc>
          <w:tcPr>
            <w:tcW w:w="663" w:type="pct"/>
            <w:noWrap w:val="0"/>
            <w:vAlign w:val="center"/>
          </w:tcPr>
          <w:p w14:paraId="340D3887">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1E9DD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5C109905">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161CCA0D">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3#厂房（表面处理车间）</w:t>
            </w:r>
          </w:p>
        </w:tc>
        <w:tc>
          <w:tcPr>
            <w:tcW w:w="1648" w:type="pct"/>
            <w:noWrap w:val="0"/>
            <w:vAlign w:val="center"/>
          </w:tcPr>
          <w:p w14:paraId="3043D137">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3F新增13条表面处理生产线（包括2条前处理线、3条滚铜镍线、1条挂铜镍线、1条滚锌线、1条挂锌线、2条镀锌钝化后处理线、2条异型砂轮处理线、1条电泳线）及蓝化热处理线</w:t>
            </w:r>
          </w:p>
        </w:tc>
        <w:tc>
          <w:tcPr>
            <w:tcW w:w="1714" w:type="pct"/>
            <w:noWrap w:val="0"/>
            <w:vAlign w:val="center"/>
          </w:tcPr>
          <w:p w14:paraId="37654480">
            <w:pPr>
              <w:pStyle w:val="31"/>
              <w:widowControl/>
              <w:spacing w:line="240" w:lineRule="auto"/>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3F新增蓝化热处理线</w:t>
            </w:r>
          </w:p>
        </w:tc>
        <w:tc>
          <w:tcPr>
            <w:tcW w:w="663" w:type="pct"/>
            <w:noWrap w:val="0"/>
            <w:vAlign w:val="center"/>
          </w:tcPr>
          <w:p w14:paraId="2068C421">
            <w:pPr>
              <w:pStyle w:val="31"/>
              <w:widowControl/>
              <w:spacing w:line="240" w:lineRule="auto"/>
              <w:rPr>
                <w:rFonts w:hint="default" w:ascii="Times New Roman" w:hAnsi="Times New Roman" w:eastAsia="宋体" w:cs="Times New Roman"/>
                <w:color w:val="auto"/>
                <w:kern w:val="0"/>
                <w:sz w:val="21"/>
                <w:szCs w:val="21"/>
                <w:lang w:val="en-US" w:eastAsia="zh-CN"/>
              </w:rPr>
            </w:pPr>
            <w:r>
              <w:rPr>
                <w:rFonts w:hint="eastAsia" w:eastAsia="宋体" w:cs="Times New Roman"/>
                <w:color w:val="auto"/>
                <w:kern w:val="0"/>
                <w:sz w:val="21"/>
                <w:szCs w:val="21"/>
                <w:lang w:val="en-US" w:eastAsia="zh-CN"/>
              </w:rPr>
              <w:t>其余生产线</w:t>
            </w:r>
            <w:r>
              <w:rPr>
                <w:rFonts w:hint="default" w:ascii="Times New Roman" w:hAnsi="Times New Roman" w:eastAsia="宋体" w:cs="Times New Roman"/>
                <w:color w:val="auto"/>
                <w:kern w:val="0"/>
                <w:sz w:val="21"/>
                <w:szCs w:val="21"/>
                <w:lang w:val="en-US" w:eastAsia="zh-CN"/>
              </w:rPr>
              <w:t>未建成</w:t>
            </w:r>
          </w:p>
        </w:tc>
      </w:tr>
      <w:tr w14:paraId="284C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noWrap w:val="0"/>
            <w:vAlign w:val="center"/>
          </w:tcPr>
          <w:p w14:paraId="7ECC0A18">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辅助工程</w:t>
            </w:r>
          </w:p>
        </w:tc>
        <w:tc>
          <w:tcPr>
            <w:tcW w:w="610" w:type="pct"/>
            <w:gridSpan w:val="2"/>
            <w:noWrap w:val="0"/>
            <w:vAlign w:val="center"/>
          </w:tcPr>
          <w:p w14:paraId="350A7805">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办公楼</w:t>
            </w:r>
          </w:p>
        </w:tc>
        <w:tc>
          <w:tcPr>
            <w:tcW w:w="1648" w:type="pct"/>
            <w:noWrap w:val="0"/>
            <w:vAlign w:val="center"/>
          </w:tcPr>
          <w:p w14:paraId="49F02FEE">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依托现有</w:t>
            </w:r>
          </w:p>
        </w:tc>
        <w:tc>
          <w:tcPr>
            <w:tcW w:w="1714" w:type="pct"/>
            <w:noWrap w:val="0"/>
            <w:vAlign w:val="center"/>
          </w:tcPr>
          <w:p w14:paraId="3614C113">
            <w:pPr>
              <w:pStyle w:val="31"/>
              <w:widowControl/>
              <w:spacing w:line="240" w:lineRule="auto"/>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依托现有</w:t>
            </w:r>
          </w:p>
        </w:tc>
        <w:tc>
          <w:tcPr>
            <w:tcW w:w="663" w:type="pct"/>
            <w:noWrap w:val="0"/>
            <w:vAlign w:val="center"/>
          </w:tcPr>
          <w:p w14:paraId="12AB3FBF">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711D78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restart"/>
            <w:noWrap w:val="0"/>
            <w:vAlign w:val="center"/>
          </w:tcPr>
          <w:p w14:paraId="166BC70E">
            <w:pPr>
              <w:pStyle w:val="31"/>
              <w:widowControl/>
              <w:wordWrap w:val="0"/>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储运工程</w:t>
            </w:r>
          </w:p>
        </w:tc>
        <w:tc>
          <w:tcPr>
            <w:tcW w:w="610" w:type="pct"/>
            <w:gridSpan w:val="2"/>
            <w:noWrap w:val="0"/>
            <w:vAlign w:val="center"/>
          </w:tcPr>
          <w:p w14:paraId="7E594657">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场内运输</w:t>
            </w:r>
          </w:p>
        </w:tc>
        <w:tc>
          <w:tcPr>
            <w:tcW w:w="1648" w:type="pct"/>
            <w:noWrap w:val="0"/>
            <w:vAlign w:val="center"/>
          </w:tcPr>
          <w:p w14:paraId="1A1E1C3E">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依托现有</w:t>
            </w:r>
          </w:p>
        </w:tc>
        <w:tc>
          <w:tcPr>
            <w:tcW w:w="1714" w:type="pct"/>
            <w:noWrap w:val="0"/>
            <w:vAlign w:val="center"/>
          </w:tcPr>
          <w:p w14:paraId="02ACD195">
            <w:pPr>
              <w:pStyle w:val="31"/>
              <w:widowControl/>
              <w:spacing w:line="240" w:lineRule="auto"/>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依托现有</w:t>
            </w:r>
          </w:p>
        </w:tc>
        <w:tc>
          <w:tcPr>
            <w:tcW w:w="663" w:type="pct"/>
            <w:noWrap w:val="0"/>
            <w:vAlign w:val="center"/>
          </w:tcPr>
          <w:p w14:paraId="491C8CC4">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1B203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55" w:hRule="atLeast"/>
          <w:jc w:val="center"/>
        </w:trPr>
        <w:tc>
          <w:tcPr>
            <w:tcW w:w="363" w:type="pct"/>
            <w:vMerge w:val="continue"/>
            <w:noWrap w:val="0"/>
            <w:vAlign w:val="center"/>
          </w:tcPr>
          <w:p w14:paraId="246712B4">
            <w:pPr>
              <w:pStyle w:val="31"/>
              <w:widowControl/>
              <w:wordWrap w:val="0"/>
              <w:spacing w:line="240" w:lineRule="auto"/>
              <w:rPr>
                <w:rFonts w:hint="default" w:ascii="Times New Roman" w:hAnsi="Times New Roman" w:eastAsia="宋体" w:cs="Times New Roman"/>
                <w:color w:val="auto"/>
                <w:kern w:val="0"/>
                <w:sz w:val="21"/>
                <w:szCs w:val="21"/>
              </w:rPr>
            </w:pPr>
          </w:p>
        </w:tc>
        <w:tc>
          <w:tcPr>
            <w:tcW w:w="610" w:type="pct"/>
            <w:gridSpan w:val="2"/>
            <w:noWrap w:val="0"/>
            <w:vAlign w:val="center"/>
          </w:tcPr>
          <w:p w14:paraId="4234137E">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储存</w:t>
            </w:r>
          </w:p>
        </w:tc>
        <w:tc>
          <w:tcPr>
            <w:tcW w:w="1648" w:type="pct"/>
            <w:noWrap w:val="0"/>
            <w:vAlign w:val="center"/>
          </w:tcPr>
          <w:p w14:paraId="31B53D4E">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在二期污水处理站西北角新建70m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危化品库1座，用于盐酸、硫酸、电镀液等危化品原辅料的贮存</w:t>
            </w:r>
          </w:p>
        </w:tc>
        <w:tc>
          <w:tcPr>
            <w:tcW w:w="1714" w:type="pct"/>
            <w:noWrap w:val="0"/>
            <w:vAlign w:val="center"/>
          </w:tcPr>
          <w:p w14:paraId="70C7478E">
            <w:pPr>
              <w:pStyle w:val="31"/>
              <w:widowControl/>
              <w:spacing w:line="240" w:lineRule="auto"/>
              <w:rPr>
                <w:rFonts w:hint="default" w:ascii="Times New Roman" w:hAnsi="Times New Roman" w:eastAsia="宋体" w:cs="Times New Roman"/>
                <w:color w:val="auto"/>
                <w:kern w:val="44"/>
                <w:sz w:val="21"/>
                <w:szCs w:val="21"/>
                <w:lang w:val="en-US" w:eastAsia="zh-CN"/>
              </w:rPr>
            </w:pPr>
            <w:r>
              <w:rPr>
                <w:rFonts w:hint="default" w:ascii="Times New Roman" w:hAnsi="Times New Roman" w:eastAsia="宋体" w:cs="Times New Roman"/>
                <w:color w:val="auto"/>
                <w:kern w:val="44"/>
                <w:sz w:val="21"/>
                <w:szCs w:val="21"/>
                <w:lang w:val="en-US" w:eastAsia="zh-CN"/>
              </w:rPr>
              <w:t>未建设</w:t>
            </w:r>
          </w:p>
        </w:tc>
        <w:tc>
          <w:tcPr>
            <w:tcW w:w="663" w:type="pct"/>
            <w:noWrap w:val="0"/>
            <w:vAlign w:val="center"/>
          </w:tcPr>
          <w:p w14:paraId="59D38BF9">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4677F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restart"/>
            <w:noWrap w:val="0"/>
            <w:vAlign w:val="center"/>
          </w:tcPr>
          <w:p w14:paraId="741FE3DA">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公用工程</w:t>
            </w:r>
          </w:p>
        </w:tc>
        <w:tc>
          <w:tcPr>
            <w:tcW w:w="310" w:type="pct"/>
            <w:vMerge w:val="restart"/>
            <w:noWrap w:val="0"/>
            <w:vAlign w:val="center"/>
          </w:tcPr>
          <w:p w14:paraId="61D48989">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供水</w:t>
            </w:r>
          </w:p>
        </w:tc>
        <w:tc>
          <w:tcPr>
            <w:tcW w:w="300" w:type="pct"/>
            <w:noWrap w:val="0"/>
            <w:vAlign w:val="center"/>
          </w:tcPr>
          <w:p w14:paraId="71D305FB">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自来水</w:t>
            </w:r>
          </w:p>
        </w:tc>
        <w:tc>
          <w:tcPr>
            <w:tcW w:w="1648" w:type="pct"/>
            <w:noWrap w:val="0"/>
            <w:vAlign w:val="center"/>
          </w:tcPr>
          <w:p w14:paraId="0432FFCF">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依托厂区现有供水</w:t>
            </w:r>
            <w:r>
              <w:rPr>
                <w:rFonts w:hint="default" w:ascii="Times New Roman" w:hAnsi="Times New Roman" w:eastAsia="宋体" w:cs="Times New Roman"/>
                <w:color w:val="auto"/>
                <w:kern w:val="0"/>
                <w:sz w:val="21"/>
                <w:szCs w:val="21"/>
                <w:lang w:eastAsia="zh-CN"/>
              </w:rPr>
              <w:t>管</w:t>
            </w:r>
            <w:r>
              <w:rPr>
                <w:rFonts w:hint="default" w:ascii="Times New Roman" w:hAnsi="Times New Roman" w:eastAsia="宋体" w:cs="Times New Roman"/>
                <w:color w:val="auto"/>
                <w:kern w:val="0"/>
                <w:sz w:val="21"/>
                <w:szCs w:val="21"/>
              </w:rPr>
              <w:t>网，改造2#、3#厂房给水线路，年新增用水量120.165m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/d（36049.5m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/a）</w:t>
            </w:r>
          </w:p>
        </w:tc>
        <w:tc>
          <w:tcPr>
            <w:tcW w:w="1714" w:type="pct"/>
            <w:noWrap w:val="0"/>
            <w:vAlign w:val="center"/>
          </w:tcPr>
          <w:p w14:paraId="2D3E32B1">
            <w:pPr>
              <w:pStyle w:val="31"/>
              <w:widowControl/>
              <w:spacing w:line="240" w:lineRule="auto"/>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依托厂区现有供水</w:t>
            </w:r>
            <w:r>
              <w:rPr>
                <w:rFonts w:hint="default" w:ascii="Times New Roman" w:hAnsi="Times New Roman" w:eastAsia="宋体" w:cs="Times New Roman"/>
                <w:color w:val="auto"/>
                <w:kern w:val="44"/>
                <w:sz w:val="21"/>
                <w:szCs w:val="21"/>
                <w:lang w:eastAsia="zh-CN"/>
              </w:rPr>
              <w:t>管</w:t>
            </w:r>
            <w:r>
              <w:rPr>
                <w:rFonts w:hint="default" w:ascii="Times New Roman" w:hAnsi="Times New Roman" w:eastAsia="宋体" w:cs="Times New Roman"/>
                <w:color w:val="auto"/>
                <w:kern w:val="44"/>
                <w:sz w:val="21"/>
                <w:szCs w:val="21"/>
              </w:rPr>
              <w:t>网，改造2#、3#厂房给水线路，年新增用水量</w:t>
            </w:r>
            <w:r>
              <w:rPr>
                <w:rFonts w:hint="eastAsia" w:cs="Times New Roman"/>
                <w:color w:val="auto"/>
                <w:kern w:val="44"/>
                <w:sz w:val="21"/>
                <w:szCs w:val="21"/>
                <w:lang w:val="en-US" w:eastAsia="zh-CN"/>
              </w:rPr>
              <w:t>48.45</w:t>
            </w:r>
            <w:r>
              <w:rPr>
                <w:rFonts w:hint="default" w:ascii="Times New Roman" w:hAnsi="Times New Roman" w:eastAsia="宋体" w:cs="Times New Roman"/>
                <w:color w:val="auto"/>
                <w:kern w:val="0"/>
                <w:sz w:val="21"/>
                <w:szCs w:val="21"/>
              </w:rPr>
              <w:t>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/d</w:t>
            </w:r>
            <w:r>
              <w:rPr>
                <w:rFonts w:hint="default" w:ascii="Times New Roman" w:hAnsi="Times New Roman" w:eastAsia="宋体" w:cs="Times New Roman"/>
                <w:color w:val="auto"/>
                <w:kern w:val="0"/>
                <w:sz w:val="21"/>
                <w:szCs w:val="21"/>
                <w:lang w:eastAsia="zh-CN"/>
              </w:rPr>
              <w:t>（</w:t>
            </w:r>
            <w:r>
              <w:rPr>
                <w:rFonts w:hint="eastAsia" w:cs="Times New Roman"/>
                <w:color w:val="auto"/>
                <w:kern w:val="44"/>
                <w:sz w:val="21"/>
                <w:szCs w:val="21"/>
                <w:lang w:val="en-US" w:eastAsia="zh-CN"/>
              </w:rPr>
              <w:t>14535</w:t>
            </w:r>
            <w:r>
              <w:rPr>
                <w:rFonts w:hint="default" w:ascii="Times New Roman" w:hAnsi="Times New Roman" w:eastAsia="宋体" w:cs="Times New Roman"/>
                <w:color w:val="auto"/>
                <w:kern w:val="44"/>
                <w:sz w:val="21"/>
                <w:szCs w:val="21"/>
              </w:rPr>
              <w:t>m</w:t>
            </w:r>
            <w:r>
              <w:rPr>
                <w:rFonts w:hint="default" w:ascii="Times New Roman" w:hAnsi="Times New Roman" w:eastAsia="宋体" w:cs="Times New Roman"/>
                <w:color w:val="auto"/>
                <w:kern w:val="44"/>
                <w:sz w:val="21"/>
                <w:szCs w:val="21"/>
                <w:vertAlign w:val="superscript"/>
              </w:rPr>
              <w:t>3</w:t>
            </w:r>
            <w:r>
              <w:rPr>
                <w:rFonts w:hint="default" w:ascii="Times New Roman" w:hAnsi="Times New Roman" w:eastAsia="宋体" w:cs="Times New Roman"/>
                <w:color w:val="auto"/>
                <w:kern w:val="44"/>
                <w:sz w:val="21"/>
                <w:szCs w:val="21"/>
              </w:rPr>
              <w:t>/a）</w:t>
            </w:r>
          </w:p>
        </w:tc>
        <w:tc>
          <w:tcPr>
            <w:tcW w:w="663" w:type="pct"/>
            <w:noWrap w:val="0"/>
            <w:vAlign w:val="center"/>
          </w:tcPr>
          <w:p w14:paraId="5EE1DC22">
            <w:pPr>
              <w:pStyle w:val="31"/>
              <w:widowControl/>
              <w:spacing w:line="240" w:lineRule="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新增水量减少</w:t>
            </w:r>
          </w:p>
        </w:tc>
      </w:tr>
      <w:tr w14:paraId="1140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0D10F941">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310" w:type="pct"/>
            <w:vMerge w:val="continue"/>
            <w:noWrap w:val="0"/>
            <w:vAlign w:val="center"/>
          </w:tcPr>
          <w:p w14:paraId="66E9A4C9">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p>
        </w:tc>
        <w:tc>
          <w:tcPr>
            <w:tcW w:w="300" w:type="pct"/>
            <w:noWrap w:val="0"/>
            <w:vAlign w:val="center"/>
          </w:tcPr>
          <w:p w14:paraId="1E284E4F">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纯水</w:t>
            </w:r>
          </w:p>
        </w:tc>
        <w:tc>
          <w:tcPr>
            <w:tcW w:w="1648" w:type="pct"/>
            <w:noWrap w:val="0"/>
            <w:vAlign w:val="center"/>
          </w:tcPr>
          <w:p w14:paraId="682DBA58">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de-DE"/>
              </w:rPr>
              <w:t>新建纯水制备站1座，位于表面处理车间内，年新增纯水用量1905.6t/a</w:t>
            </w:r>
          </w:p>
        </w:tc>
        <w:tc>
          <w:tcPr>
            <w:tcW w:w="1714" w:type="pct"/>
            <w:noWrap w:val="0"/>
            <w:vAlign w:val="center"/>
          </w:tcPr>
          <w:p w14:paraId="70FCCC8E">
            <w:pPr>
              <w:pStyle w:val="31"/>
              <w:widowControl/>
              <w:spacing w:line="240" w:lineRule="auto"/>
              <w:rPr>
                <w:rFonts w:hint="default" w:ascii="Times New Roman" w:hAnsi="Times New Roman" w:eastAsia="宋体" w:cs="Times New Roman"/>
                <w:color w:val="auto"/>
                <w:kern w:val="44"/>
                <w:sz w:val="21"/>
                <w:szCs w:val="21"/>
                <w:lang w:val="en-US" w:eastAsia="zh-CN"/>
              </w:rPr>
            </w:pPr>
            <w:r>
              <w:rPr>
                <w:rFonts w:hint="default" w:ascii="Times New Roman" w:hAnsi="Times New Roman" w:eastAsia="宋体" w:cs="Times New Roman"/>
                <w:color w:val="auto"/>
                <w:kern w:val="44"/>
                <w:sz w:val="21"/>
                <w:szCs w:val="21"/>
                <w:lang w:val="en-US" w:eastAsia="zh-CN"/>
              </w:rPr>
              <w:t>实际未建设</w:t>
            </w:r>
          </w:p>
        </w:tc>
        <w:tc>
          <w:tcPr>
            <w:tcW w:w="663" w:type="pct"/>
            <w:noWrap w:val="0"/>
            <w:vAlign w:val="center"/>
          </w:tcPr>
          <w:p w14:paraId="1877606D">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4EC71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03764769">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77269170">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排水</w:t>
            </w:r>
          </w:p>
        </w:tc>
        <w:tc>
          <w:tcPr>
            <w:tcW w:w="1648" w:type="pct"/>
            <w:noWrap w:val="0"/>
            <w:vAlign w:val="center"/>
          </w:tcPr>
          <w:p w14:paraId="4232EE93">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雨污分流，新增废水外排量26272.5t/a</w:t>
            </w:r>
          </w:p>
        </w:tc>
        <w:tc>
          <w:tcPr>
            <w:tcW w:w="1714" w:type="pct"/>
            <w:noWrap w:val="0"/>
            <w:vAlign w:val="center"/>
          </w:tcPr>
          <w:p w14:paraId="59F42FF9">
            <w:pPr>
              <w:pStyle w:val="31"/>
              <w:widowControl/>
              <w:spacing w:line="240" w:lineRule="auto"/>
              <w:jc w:val="both"/>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雨污分流，新增废水外排量</w:t>
            </w:r>
            <w:r>
              <w:rPr>
                <w:rFonts w:hint="eastAsia" w:cs="Times New Roman"/>
                <w:color w:val="auto"/>
                <w:kern w:val="44"/>
                <w:sz w:val="21"/>
                <w:szCs w:val="21"/>
                <w:lang w:val="en-US" w:eastAsia="zh-CN"/>
              </w:rPr>
              <w:t>9420</w:t>
            </w:r>
            <w:r>
              <w:rPr>
                <w:rFonts w:hint="default" w:ascii="Times New Roman" w:hAnsi="Times New Roman" w:eastAsia="宋体" w:cs="Times New Roman"/>
                <w:color w:val="auto"/>
                <w:kern w:val="44"/>
                <w:sz w:val="21"/>
                <w:szCs w:val="21"/>
              </w:rPr>
              <w:t>t/a</w:t>
            </w:r>
          </w:p>
        </w:tc>
        <w:tc>
          <w:tcPr>
            <w:tcW w:w="663" w:type="pct"/>
            <w:noWrap w:val="0"/>
            <w:vAlign w:val="center"/>
          </w:tcPr>
          <w:p w14:paraId="138AFCC9">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0FBC1E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1104109D">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4E8FB6AD">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供电</w:t>
            </w:r>
          </w:p>
        </w:tc>
        <w:tc>
          <w:tcPr>
            <w:tcW w:w="1648" w:type="pct"/>
            <w:noWrap w:val="0"/>
            <w:vAlign w:val="center"/>
          </w:tcPr>
          <w:p w14:paraId="441BD3D6">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年新增用电量1300万kWh/a</w:t>
            </w:r>
          </w:p>
        </w:tc>
        <w:tc>
          <w:tcPr>
            <w:tcW w:w="1714" w:type="pct"/>
            <w:noWrap w:val="0"/>
            <w:vAlign w:val="center"/>
          </w:tcPr>
          <w:p w14:paraId="27D1DBCD">
            <w:pPr>
              <w:pStyle w:val="31"/>
              <w:widowControl/>
              <w:spacing w:line="240" w:lineRule="auto"/>
              <w:jc w:val="both"/>
              <w:rPr>
                <w:rFonts w:hint="default" w:ascii="Times New Roman" w:hAnsi="Times New Roman" w:eastAsia="宋体" w:cs="Times New Roman"/>
                <w:color w:val="auto"/>
                <w:kern w:val="44"/>
                <w:sz w:val="21"/>
                <w:szCs w:val="21"/>
              </w:rPr>
            </w:pPr>
            <w:r>
              <w:rPr>
                <w:rFonts w:hint="default" w:ascii="Times New Roman" w:hAnsi="Times New Roman" w:eastAsia="宋体" w:cs="Times New Roman"/>
                <w:color w:val="auto"/>
                <w:kern w:val="44"/>
                <w:sz w:val="21"/>
                <w:szCs w:val="21"/>
              </w:rPr>
              <w:t>年新增用电量</w:t>
            </w:r>
            <w:r>
              <w:rPr>
                <w:rFonts w:hint="eastAsia" w:cs="Times New Roman"/>
                <w:color w:val="auto"/>
                <w:kern w:val="44"/>
                <w:sz w:val="21"/>
                <w:szCs w:val="21"/>
                <w:lang w:val="en-US" w:eastAsia="zh-CN"/>
              </w:rPr>
              <w:t>600</w:t>
            </w:r>
            <w:r>
              <w:rPr>
                <w:rFonts w:hint="default" w:ascii="Times New Roman" w:hAnsi="Times New Roman" w:eastAsia="宋体" w:cs="Times New Roman"/>
                <w:color w:val="auto"/>
                <w:kern w:val="44"/>
                <w:sz w:val="21"/>
                <w:szCs w:val="21"/>
              </w:rPr>
              <w:t>万kWh/a</w:t>
            </w:r>
          </w:p>
        </w:tc>
        <w:tc>
          <w:tcPr>
            <w:tcW w:w="663" w:type="pct"/>
            <w:noWrap w:val="0"/>
            <w:vAlign w:val="center"/>
          </w:tcPr>
          <w:p w14:paraId="278E5A96">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60DF1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4BC8151D">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474E3B81">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篮球场</w:t>
            </w:r>
          </w:p>
        </w:tc>
        <w:tc>
          <w:tcPr>
            <w:tcW w:w="1648" w:type="pct"/>
            <w:noWrap w:val="0"/>
            <w:vAlign w:val="center"/>
          </w:tcPr>
          <w:p w14:paraId="3AAA6432">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新建420m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篮球场1座</w:t>
            </w:r>
          </w:p>
        </w:tc>
        <w:tc>
          <w:tcPr>
            <w:tcW w:w="1714" w:type="pct"/>
            <w:noWrap w:val="0"/>
            <w:vAlign w:val="center"/>
          </w:tcPr>
          <w:p w14:paraId="40B56947">
            <w:pPr>
              <w:pStyle w:val="31"/>
              <w:widowControl/>
              <w:spacing w:line="240" w:lineRule="auto"/>
              <w:rPr>
                <w:rFonts w:hint="eastAsia" w:ascii="Times New Roman" w:hAnsi="Times New Roman" w:eastAsia="宋体" w:cs="Times New Roman"/>
                <w:color w:val="auto"/>
                <w:kern w:val="0"/>
                <w:sz w:val="21"/>
                <w:szCs w:val="21"/>
                <w:lang w:val="en-US" w:eastAsia="zh-CN"/>
              </w:rPr>
            </w:pPr>
            <w:r>
              <w:rPr>
                <w:rFonts w:hint="eastAsia" w:cs="Times New Roman"/>
                <w:color w:val="auto"/>
                <w:kern w:val="0"/>
                <w:sz w:val="21"/>
                <w:szCs w:val="21"/>
                <w:lang w:val="en-US" w:eastAsia="zh-CN"/>
              </w:rPr>
              <w:t>/</w:t>
            </w:r>
          </w:p>
        </w:tc>
        <w:tc>
          <w:tcPr>
            <w:tcW w:w="663" w:type="pct"/>
            <w:noWrap w:val="0"/>
            <w:vAlign w:val="center"/>
          </w:tcPr>
          <w:p w14:paraId="5FB79401">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37788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68F354AD">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3A3223EA">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食堂</w:t>
            </w:r>
          </w:p>
        </w:tc>
        <w:tc>
          <w:tcPr>
            <w:tcW w:w="1648" w:type="pct"/>
            <w:noWrap w:val="0"/>
            <w:vAlign w:val="center"/>
          </w:tcPr>
          <w:p w14:paraId="66BF43BE">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为满足技改后新增人员就餐需求，将食堂面积扩建至450m</w:t>
            </w:r>
            <w:r>
              <w:rPr>
                <w:rFonts w:hint="default" w:ascii="Times New Roman" w:hAnsi="Times New Roman" w:eastAsia="宋体" w:cs="Times New Roman"/>
                <w:color w:val="auto"/>
                <w:kern w:val="0"/>
                <w:sz w:val="21"/>
                <w:szCs w:val="21"/>
                <w:vertAlign w:val="superscript"/>
              </w:rPr>
              <w:t>2</w:t>
            </w:r>
            <w:r>
              <w:rPr>
                <w:rFonts w:hint="default" w:ascii="Times New Roman" w:hAnsi="Times New Roman" w:eastAsia="宋体" w:cs="Times New Roman"/>
                <w:color w:val="auto"/>
                <w:kern w:val="0"/>
                <w:sz w:val="21"/>
                <w:szCs w:val="21"/>
              </w:rPr>
              <w:t>，不新增食堂灶头</w:t>
            </w:r>
          </w:p>
        </w:tc>
        <w:tc>
          <w:tcPr>
            <w:tcW w:w="1714" w:type="pct"/>
            <w:noWrap w:val="0"/>
            <w:vAlign w:val="center"/>
          </w:tcPr>
          <w:p w14:paraId="1F44163D">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不在本次验收范围内</w:t>
            </w:r>
          </w:p>
        </w:tc>
        <w:tc>
          <w:tcPr>
            <w:tcW w:w="663" w:type="pct"/>
            <w:noWrap w:val="0"/>
            <w:vAlign w:val="center"/>
          </w:tcPr>
          <w:p w14:paraId="1773D5BA">
            <w:pPr>
              <w:pStyle w:val="31"/>
              <w:widowControl/>
              <w:spacing w:line="240" w:lineRule="auto"/>
              <w:rPr>
                <w:rFonts w:hint="default"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lang w:val="en-US" w:eastAsia="zh-CN"/>
              </w:rPr>
              <w:t>不在本次验收范围内</w:t>
            </w:r>
          </w:p>
        </w:tc>
      </w:tr>
      <w:tr w14:paraId="19BDA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restart"/>
            <w:noWrap w:val="0"/>
            <w:vAlign w:val="center"/>
          </w:tcPr>
          <w:p w14:paraId="5D960EE5">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lang w:val="en-US" w:eastAsia="zh-CN"/>
              </w:rPr>
            </w:pPr>
            <w:r>
              <w:rPr>
                <w:rFonts w:hint="default" w:ascii="Times New Roman" w:hAnsi="Times New Roman" w:eastAsia="宋体" w:cs="Times New Roman"/>
                <w:bCs/>
                <w:color w:val="auto"/>
                <w:kern w:val="0"/>
                <w:sz w:val="21"/>
                <w:szCs w:val="21"/>
                <w:lang w:val="en-US" w:eastAsia="zh-CN"/>
              </w:rPr>
              <w:t>环保工程</w:t>
            </w:r>
          </w:p>
        </w:tc>
        <w:tc>
          <w:tcPr>
            <w:tcW w:w="610" w:type="pct"/>
            <w:gridSpan w:val="2"/>
            <w:noWrap w:val="0"/>
            <w:vAlign w:val="center"/>
          </w:tcPr>
          <w:p w14:paraId="74DB8D69">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废水处理</w:t>
            </w:r>
          </w:p>
        </w:tc>
        <w:tc>
          <w:tcPr>
            <w:tcW w:w="1648" w:type="pct"/>
            <w:noWrap w:val="0"/>
            <w:vAlign w:val="center"/>
          </w:tcPr>
          <w:p w14:paraId="406881C7">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改扩建项目废水包括前处理振磨废水、前处理酸碱废水、含镍废水、含铜废水、含锌废水、含铬废水、电泳废水、砂轮线废水、设备间接冷却水、煮胶清洗废水、热处理前清洗废水、纯水制备浓水、</w:t>
            </w:r>
            <w:r>
              <w:rPr>
                <w:rFonts w:hint="eastAsia" w:eastAsia="宋体" w:cs="Times New Roman"/>
                <w:color w:val="auto"/>
                <w:kern w:val="0"/>
                <w:sz w:val="21"/>
                <w:szCs w:val="21"/>
                <w:lang w:val="en-US" w:eastAsia="zh-CN"/>
              </w:rPr>
              <w:t>碱</w:t>
            </w:r>
            <w:r>
              <w:rPr>
                <w:rFonts w:hint="default" w:ascii="Times New Roman" w:hAnsi="Times New Roman" w:eastAsia="宋体" w:cs="Times New Roman"/>
                <w:color w:val="auto"/>
                <w:kern w:val="0"/>
                <w:sz w:val="21"/>
                <w:szCs w:val="21"/>
              </w:rPr>
              <w:t>液喷淋塔废水以及生活污水等。为满足改扩建项目生产废水处置要求，改扩建项目需新建设计处理规模为24m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/d含铬废水处理站1座和处理规模为150m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d综合废水处理站各1座。项目废水按照“雨污分流、分质处理、废水梯级利用”的原则进行设计，其中①含镍废水托现有含镍废水处理站处理达标后回用于振磨工序，不外排；②含锌废水托现有含锌废水处理站处理达标后回用于振磨工序，不外排；③含铜废水托现有含铜废水处理站处理达标后回用于振磨工序，不外排；④含铬废水经新建含铬废水处理站（废水处理工艺：调节池+OPR电位还原池+物化处理+活性炭吸附法）处理达标后通过园区污水管网外排至马鞍山城镇南部污水处理厂进一步进行处理；⑤振磨废水经过三级斜管沉淀后部分回用于振磨工序，剩余排入综合废水处理站进一步处理；⑥处理回用后剩余振磨废水与前处理酸碱废水、电泳废水、砂轮线废水、碱液喷淋塔废水、热处理清洗废水、煮胶清洗废水一起进入新建综合废水处理站（与现有综合废水处理站工艺一致，废水处理工艺：综合废水池+pH调节+破乳反应池+絮凝沉淀池+生化处理系统+pH调节槽+催化氧化系统+絮凝沉淀池+活性炭过滤器处理）进一步进行处理，处理后的废水部分（50m</w:t>
            </w:r>
            <w:r>
              <w:rPr>
                <w:rFonts w:hint="default" w:ascii="Times New Roman" w:hAnsi="Times New Roman" w:eastAsia="宋体" w:cs="Times New Roman"/>
                <w:color w:val="auto"/>
                <w:kern w:val="0"/>
                <w:sz w:val="21"/>
                <w:szCs w:val="21"/>
                <w:vertAlign w:val="superscript"/>
              </w:rPr>
              <w:t>3</w:t>
            </w:r>
            <w:r>
              <w:rPr>
                <w:rFonts w:hint="default" w:ascii="Times New Roman" w:hAnsi="Times New Roman" w:eastAsia="宋体" w:cs="Times New Roman"/>
                <w:color w:val="auto"/>
                <w:kern w:val="0"/>
                <w:sz w:val="21"/>
                <w:szCs w:val="21"/>
              </w:rPr>
              <w:t>/d）回用于前处理工序，多余部分与经处理达标后的含铬废水、纯水制备浓水、蒸汽发生器排污水、生活污水一起通过园区污水管网外排至马鞍山城镇南部污水处理厂进一步进行处理</w:t>
            </w:r>
          </w:p>
        </w:tc>
        <w:tc>
          <w:tcPr>
            <w:tcW w:w="1714" w:type="pct"/>
            <w:noWrap w:val="0"/>
            <w:vAlign w:val="center"/>
          </w:tcPr>
          <w:p w14:paraId="36777784">
            <w:pPr>
              <w:pStyle w:val="31"/>
              <w:widowControl/>
              <w:spacing w:line="240" w:lineRule="auto"/>
              <w:jc w:val="left"/>
              <w:rPr>
                <w:rFonts w:hint="eastAsia" w:ascii="Times New Roman" w:hAnsi="Times New Roman" w:eastAsia="宋体" w:cs="Times New Roman"/>
                <w:color w:val="auto"/>
                <w:kern w:val="0"/>
                <w:sz w:val="21"/>
                <w:szCs w:val="21"/>
                <w:lang w:eastAsia="zh-CN"/>
              </w:rPr>
            </w:pPr>
            <w:r>
              <w:rPr>
                <w:rFonts w:hint="default" w:ascii="Times New Roman" w:hAnsi="Times New Roman" w:eastAsia="宋体" w:cs="Times New Roman"/>
                <w:color w:val="auto"/>
                <w:kern w:val="0"/>
                <w:sz w:val="21"/>
                <w:szCs w:val="21"/>
              </w:rPr>
              <w:t>改扩建项目废水包括前处理振磨废水、前处理酸碱废水、含镍废水、含铜废水、电泳废水、设备间接冷却水、煮胶清洗废水、热处理前清洗废水、纯水制备浓水、液喷淋塔废水以及生活污水等。</w:t>
            </w:r>
            <w:r>
              <w:rPr>
                <w:rFonts w:hint="default" w:ascii="Times New Roman" w:hAnsi="Times New Roman" w:eastAsia="宋体" w:cs="Times New Roman"/>
                <w:color w:val="auto"/>
                <w:kern w:val="0"/>
                <w:sz w:val="21"/>
                <w:szCs w:val="21"/>
                <w:lang w:val="en-US" w:eastAsia="zh-CN"/>
              </w:rPr>
              <w:t>现有污水处理设施即可满足需求</w:t>
            </w:r>
            <w:r>
              <w:rPr>
                <w:rFonts w:hint="default" w:ascii="Times New Roman" w:hAnsi="Times New Roman" w:eastAsia="宋体" w:cs="Times New Roman"/>
                <w:color w:val="auto"/>
                <w:kern w:val="0"/>
                <w:sz w:val="21"/>
                <w:szCs w:val="21"/>
              </w:rPr>
              <w:t>。项目废水按照“雨污分流、分质处理、废水梯级利用”的原则进行设计，其中①含镍废水托现有含镍废水处理站处理达标后回用于振磨工序；</w:t>
            </w:r>
            <w:r>
              <w:rPr>
                <w:rFonts w:hint="eastAsia" w:cs="Times New Roman"/>
                <w:color w:val="auto"/>
                <w:kern w:val="0"/>
                <w:sz w:val="21"/>
                <w:szCs w:val="21"/>
                <w:lang w:val="en-US" w:eastAsia="zh-CN"/>
              </w:rPr>
              <w:t>②</w:t>
            </w:r>
            <w:r>
              <w:rPr>
                <w:rFonts w:hint="default" w:ascii="Times New Roman" w:hAnsi="Times New Roman" w:eastAsia="宋体" w:cs="Times New Roman"/>
                <w:color w:val="auto"/>
                <w:kern w:val="0"/>
                <w:sz w:val="21"/>
                <w:szCs w:val="21"/>
              </w:rPr>
              <w:t>含铜废水托现有含铜废水处理站处理达标后回用于振磨工序；</w:t>
            </w:r>
            <w:r>
              <w:rPr>
                <w:rFonts w:hint="eastAsia" w:cs="Times New Roman"/>
                <w:color w:val="auto"/>
                <w:kern w:val="0"/>
                <w:sz w:val="21"/>
                <w:szCs w:val="21"/>
                <w:lang w:val="en-US" w:eastAsia="zh-CN"/>
              </w:rPr>
              <w:t>③</w:t>
            </w:r>
            <w:r>
              <w:rPr>
                <w:rFonts w:hint="default" w:ascii="Times New Roman" w:hAnsi="Times New Roman" w:eastAsia="宋体" w:cs="Times New Roman"/>
                <w:color w:val="auto"/>
                <w:kern w:val="0"/>
                <w:sz w:val="21"/>
                <w:szCs w:val="21"/>
              </w:rPr>
              <w:t>振磨废水经过三级斜管沉淀后部分回用于振磨工序，剩余排入综合废水处理站进一步处理；</w:t>
            </w:r>
            <w:r>
              <w:rPr>
                <w:rFonts w:hint="eastAsia" w:cs="Times New Roman"/>
                <w:color w:val="auto"/>
                <w:kern w:val="0"/>
                <w:sz w:val="21"/>
                <w:szCs w:val="21"/>
                <w:lang w:val="en-US" w:eastAsia="zh-CN"/>
              </w:rPr>
              <w:t>④</w:t>
            </w:r>
            <w:r>
              <w:rPr>
                <w:rFonts w:hint="default" w:ascii="Times New Roman" w:hAnsi="Times New Roman" w:eastAsia="宋体" w:cs="Times New Roman"/>
                <w:color w:val="auto"/>
                <w:kern w:val="0"/>
                <w:sz w:val="21"/>
                <w:szCs w:val="21"/>
              </w:rPr>
              <w:t>处理回用后剩余振磨废水与前处理酸碱废水、电泳废水、碱液喷淋塔废水、煮胶清洗废水一起进入现有综合废水处理站，</w:t>
            </w:r>
            <w:r>
              <w:rPr>
                <w:rFonts w:hint="default" w:ascii="Times New Roman" w:hAnsi="Times New Roman" w:eastAsia="宋体" w:cs="Times New Roman"/>
                <w:color w:val="auto"/>
                <w:kern w:val="0"/>
                <w:sz w:val="21"/>
                <w:szCs w:val="21"/>
                <w:lang w:val="en-US" w:eastAsia="zh-CN"/>
              </w:rPr>
              <w:t>经</w:t>
            </w:r>
            <w:r>
              <w:rPr>
                <w:rFonts w:hint="default" w:ascii="Times New Roman" w:hAnsi="Times New Roman" w:eastAsia="宋体" w:cs="Times New Roman"/>
                <w:color w:val="auto"/>
                <w:kern w:val="0"/>
                <w:sz w:val="21"/>
                <w:szCs w:val="21"/>
              </w:rPr>
              <w:t>综合废水池+pH调节+破乳反应池+絮凝沉淀池+生化处理系统+pH调节槽+催化氧化系统+絮凝沉淀池+活性炭过滤器处理</w:t>
            </w:r>
            <w:r>
              <w:rPr>
                <w:rFonts w:hint="default" w:ascii="Times New Roman" w:hAnsi="Times New Roman" w:eastAsia="宋体" w:cs="Times New Roman"/>
                <w:color w:val="auto"/>
                <w:kern w:val="0"/>
                <w:sz w:val="21"/>
                <w:szCs w:val="21"/>
                <w:lang w:val="en-US" w:eastAsia="zh-CN"/>
              </w:rPr>
              <w:t>后</w:t>
            </w:r>
            <w:r>
              <w:rPr>
                <w:rFonts w:hint="default" w:ascii="Times New Roman" w:hAnsi="Times New Roman" w:eastAsia="宋体" w:cs="Times New Roman"/>
                <w:color w:val="auto"/>
                <w:kern w:val="0"/>
                <w:sz w:val="21"/>
                <w:szCs w:val="21"/>
              </w:rPr>
              <w:t>，处理后的部分废水回用于前处理工序，多余部分与经处理达标后的纯水制备浓水、蒸汽发生器排污水、生活污水一起通过园区污水管网外排至马鞍山城镇南部污水处理厂进一步进行处理</w:t>
            </w:r>
            <w:r>
              <w:rPr>
                <w:rFonts w:hint="eastAsia" w:cs="Times New Roman"/>
                <w:color w:val="auto"/>
                <w:kern w:val="0"/>
                <w:sz w:val="21"/>
                <w:szCs w:val="21"/>
                <w:lang w:eastAsia="zh-CN"/>
              </w:rPr>
              <w:t>。</w:t>
            </w:r>
          </w:p>
        </w:tc>
        <w:tc>
          <w:tcPr>
            <w:tcW w:w="663" w:type="pct"/>
            <w:noWrap w:val="0"/>
            <w:vAlign w:val="center"/>
          </w:tcPr>
          <w:p w14:paraId="256C8AD2">
            <w:pPr>
              <w:pStyle w:val="31"/>
              <w:widowControl/>
              <w:spacing w:line="240" w:lineRule="auto"/>
              <w:jc w:val="both"/>
              <w:rPr>
                <w:rFonts w:hint="default" w:ascii="Times New Roman" w:hAnsi="Times New Roman" w:eastAsia="宋体" w:cs="Times New Roman"/>
                <w:color w:val="auto"/>
                <w:kern w:val="0"/>
                <w:sz w:val="21"/>
                <w:szCs w:val="21"/>
                <w:lang w:val="en-US"/>
              </w:rPr>
            </w:pPr>
            <w:r>
              <w:rPr>
                <w:rFonts w:hint="default" w:ascii="Times New Roman" w:hAnsi="Times New Roman" w:eastAsia="宋体" w:cs="Times New Roman"/>
                <w:color w:val="auto"/>
                <w:kern w:val="0"/>
                <w:sz w:val="21"/>
                <w:szCs w:val="21"/>
                <w:lang w:val="en-US" w:eastAsia="zh-CN"/>
              </w:rPr>
              <w:t>表面处理废水未产生，相应污水处理设施未建设，其余依托现有。</w:t>
            </w:r>
          </w:p>
        </w:tc>
      </w:tr>
      <w:tr w14:paraId="0EA89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3239744D">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19231FD9">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废气处理</w:t>
            </w:r>
          </w:p>
        </w:tc>
        <w:tc>
          <w:tcPr>
            <w:tcW w:w="1648" w:type="pct"/>
            <w:noWrap w:val="0"/>
            <w:vAlign w:val="center"/>
          </w:tcPr>
          <w:p w14:paraId="095D1D9F">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①项目配料准备工序抛丸机依托现有，抛丸机产生的粉尘经抛丸机自带的除尘器处理后经管道集中收集后通过1根高15m排气筒排放（DA001）；</w:t>
            </w:r>
          </w:p>
          <w:p w14:paraId="20EFBFC5">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②项目烧结工序产生的粉尘经烧结炉上集气管道收集后经1套三级过滤棉高效除尘器式处理后经1根15m高的排气筒（DA005）外排；</w:t>
            </w:r>
          </w:p>
          <w:p w14:paraId="13C1534C">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③项目渗透有机废气经负压密闭收集和二级活性炭吸附</w:t>
            </w:r>
            <w:r>
              <w:rPr>
                <w:rFonts w:hint="default" w:ascii="Times New Roman" w:hAnsi="Times New Roman" w:eastAsia="宋体" w:cs="Times New Roman"/>
                <w:color w:val="auto"/>
                <w:kern w:val="0"/>
                <w:sz w:val="21"/>
                <w:szCs w:val="21"/>
                <w:lang w:val="en-US" w:eastAsia="zh-CN"/>
              </w:rPr>
              <w:t>进</w:t>
            </w:r>
            <w:r>
              <w:rPr>
                <w:rFonts w:hint="default" w:ascii="Times New Roman" w:hAnsi="Times New Roman" w:eastAsia="宋体" w:cs="Times New Roman"/>
                <w:color w:val="auto"/>
                <w:kern w:val="0"/>
                <w:sz w:val="21"/>
                <w:szCs w:val="21"/>
              </w:rPr>
              <w:t>行处理，处理后的废气通过1根15m高的排气筒（DA006）外排；</w:t>
            </w:r>
          </w:p>
          <w:p w14:paraId="710E020E">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④项目蒸汽发生器采用天然气作为燃料并配备低氮燃烧装置，2台蒸汽发生器</w:t>
            </w:r>
            <w:r>
              <w:rPr>
                <w:rFonts w:hint="default" w:ascii="Times New Roman" w:hAnsi="Times New Roman" w:eastAsia="宋体" w:cs="Times New Roman"/>
                <w:color w:val="auto"/>
                <w:kern w:val="0"/>
                <w:sz w:val="21"/>
                <w:szCs w:val="21"/>
                <w:lang w:eastAsia="zh-CN"/>
              </w:rPr>
              <w:t>燃烧废气</w:t>
            </w:r>
            <w:r>
              <w:rPr>
                <w:rFonts w:hint="default" w:ascii="Times New Roman" w:hAnsi="Times New Roman" w:eastAsia="宋体" w:cs="Times New Roman"/>
                <w:color w:val="auto"/>
                <w:kern w:val="0"/>
                <w:sz w:val="21"/>
                <w:szCs w:val="21"/>
              </w:rPr>
              <w:t>分别经1根高15m（DA007）和1根高27m的排气筒（DA008）达标外排；</w:t>
            </w:r>
          </w:p>
          <w:p w14:paraId="44491EAE">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⑤项目碱雾经收集后通过1根高15m的排气筒（DA009）外排；</w:t>
            </w:r>
          </w:p>
          <w:p w14:paraId="36BF83D8">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⑥项目前处理线、环氧线、镀锌线、砂轮线以及镀锌钝化后处理线产生的酸雾统一收集后引至碱液喷淋吸收塔进行处理，处理达标后经过1根高32m排气筒（DA010）排放；</w:t>
            </w:r>
          </w:p>
          <w:p w14:paraId="79DF7818">
            <w:pPr>
              <w:widowControl/>
              <w:adjustRightInd w:val="0"/>
              <w:snapToGrid w:val="0"/>
              <w:spacing w:beforeLines="0" w:afterLines="0" w:line="240" w:lineRule="auto"/>
              <w:ind w:firstLine="0" w:firstLineChars="0"/>
              <w:jc w:val="left"/>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⑦镀铜镍线产生的酸雾统一收集后引至碱液喷淋吸收塔进行处理，处理达标后经过1根高32m排气筒（DA011）排放；</w:t>
            </w:r>
          </w:p>
          <w:p w14:paraId="05C52F88">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fldChar w:fldCharType="begin"/>
            </w:r>
            <w:r>
              <w:rPr>
                <w:rFonts w:hint="default" w:ascii="Times New Roman" w:hAnsi="Times New Roman" w:eastAsia="宋体" w:cs="Times New Roman"/>
                <w:color w:val="auto"/>
                <w:kern w:val="0"/>
                <w:sz w:val="21"/>
                <w:szCs w:val="21"/>
              </w:rPr>
              <w:instrText xml:space="preserve"> = 8 \* GB3 </w:instrText>
            </w:r>
            <w:r>
              <w:rPr>
                <w:rFonts w:hint="default" w:ascii="Times New Roman" w:hAnsi="Times New Roman" w:eastAsia="宋体" w:cs="Times New Roman"/>
                <w:color w:val="auto"/>
                <w:kern w:val="0"/>
                <w:sz w:val="21"/>
                <w:szCs w:val="21"/>
              </w:rPr>
              <w:fldChar w:fldCharType="separate"/>
            </w:r>
            <w:r>
              <w:rPr>
                <w:rFonts w:hint="default" w:ascii="Times New Roman" w:hAnsi="Times New Roman" w:eastAsia="宋体" w:cs="Times New Roman"/>
                <w:color w:val="auto"/>
                <w:kern w:val="0"/>
                <w:sz w:val="21"/>
                <w:szCs w:val="21"/>
              </w:rPr>
              <w:t>⑧</w:t>
            </w:r>
            <w:r>
              <w:rPr>
                <w:rFonts w:hint="default" w:ascii="Times New Roman" w:hAnsi="Times New Roman" w:eastAsia="宋体" w:cs="Times New Roman"/>
                <w:color w:val="auto"/>
                <w:kern w:val="0"/>
                <w:sz w:val="21"/>
                <w:szCs w:val="21"/>
              </w:rPr>
              <w:fldChar w:fldCharType="end"/>
            </w:r>
            <w:r>
              <w:rPr>
                <w:rFonts w:hint="default" w:ascii="Times New Roman" w:hAnsi="Times New Roman" w:eastAsia="宋体" w:cs="Times New Roman"/>
                <w:color w:val="auto"/>
                <w:kern w:val="0"/>
                <w:sz w:val="21"/>
                <w:szCs w:val="21"/>
              </w:rPr>
              <w:t>食堂油烟经油烟净化器收集净化处理后通过1根高15m排气筒外排（DA012）</w:t>
            </w:r>
          </w:p>
        </w:tc>
        <w:tc>
          <w:tcPr>
            <w:tcW w:w="1714" w:type="pct"/>
            <w:noWrap w:val="0"/>
            <w:vAlign w:val="center"/>
          </w:tcPr>
          <w:p w14:paraId="3893B1DA">
            <w:pPr>
              <w:pStyle w:val="31"/>
              <w:widowControl/>
              <w:spacing w:line="240" w:lineRule="auto"/>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①项目配料准备工序抛丸机依托现有，抛丸机产生的粉尘经抛丸机自带的除尘器处理后经管道集中收集后通过1根高15m排气筒排放（DA001）；</w:t>
            </w:r>
          </w:p>
          <w:p w14:paraId="161B2243">
            <w:pPr>
              <w:pStyle w:val="31"/>
              <w:widowControl/>
              <w:spacing w:line="240" w:lineRule="auto"/>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②项目烧结工序产生的粉尘经烧结炉上集气管道收集后经1套三级过滤棉高效除尘器式处理后经1根15m高的排气筒（DA005）外排；</w:t>
            </w:r>
          </w:p>
          <w:p w14:paraId="2F08EBDB">
            <w:pPr>
              <w:pStyle w:val="31"/>
              <w:widowControl/>
              <w:spacing w:line="240" w:lineRule="auto"/>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③项目渗透有机废气经负压密闭收集和二级活性炭吸附</w:t>
            </w:r>
            <w:r>
              <w:rPr>
                <w:rFonts w:hint="default" w:ascii="Times New Roman" w:hAnsi="Times New Roman" w:eastAsia="宋体" w:cs="Times New Roman"/>
                <w:color w:val="auto"/>
                <w:kern w:val="0"/>
                <w:sz w:val="21"/>
                <w:szCs w:val="21"/>
                <w:lang w:val="en-US" w:eastAsia="zh-CN"/>
              </w:rPr>
              <w:t>进</w:t>
            </w:r>
            <w:r>
              <w:rPr>
                <w:rFonts w:hint="default" w:ascii="Times New Roman" w:hAnsi="Times New Roman" w:eastAsia="宋体" w:cs="Times New Roman"/>
                <w:color w:val="auto"/>
                <w:kern w:val="0"/>
                <w:sz w:val="21"/>
                <w:szCs w:val="21"/>
              </w:rPr>
              <w:t>行处理，处理后的废气通过1根15m高的排气筒（DA006）外排；</w:t>
            </w:r>
          </w:p>
          <w:p w14:paraId="6DABD853">
            <w:pPr>
              <w:pStyle w:val="31"/>
              <w:widowControl/>
              <w:spacing w:line="240" w:lineRule="auto"/>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④项目蒸汽发生器采用天然气作为燃料并配备低氮燃烧装置，2台蒸汽发生器</w:t>
            </w:r>
            <w:r>
              <w:rPr>
                <w:rFonts w:hint="default" w:ascii="Times New Roman" w:hAnsi="Times New Roman" w:eastAsia="宋体" w:cs="Times New Roman"/>
                <w:color w:val="auto"/>
                <w:kern w:val="0"/>
                <w:sz w:val="21"/>
                <w:szCs w:val="21"/>
                <w:lang w:eastAsia="zh-CN"/>
              </w:rPr>
              <w:t>燃烧废气</w:t>
            </w:r>
            <w:r>
              <w:rPr>
                <w:rFonts w:hint="default" w:ascii="Times New Roman" w:hAnsi="Times New Roman" w:eastAsia="宋体" w:cs="Times New Roman"/>
                <w:color w:val="auto"/>
                <w:kern w:val="0"/>
                <w:sz w:val="21"/>
                <w:szCs w:val="21"/>
              </w:rPr>
              <w:t>分别经1根高15m（DA007）和1根高27m的排气筒（DA008）达标外排；</w:t>
            </w:r>
          </w:p>
          <w:p w14:paraId="74EEC4C0">
            <w:pPr>
              <w:pStyle w:val="31"/>
              <w:widowControl/>
              <w:spacing w:line="240" w:lineRule="auto"/>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⑤项目碱雾经收集后通过1根高15m的排气筒（DA009）外排；</w:t>
            </w:r>
          </w:p>
        </w:tc>
        <w:tc>
          <w:tcPr>
            <w:tcW w:w="663" w:type="pct"/>
            <w:noWrap w:val="0"/>
            <w:vAlign w:val="center"/>
          </w:tcPr>
          <w:p w14:paraId="1A77CAFD">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6E00C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3300DFD5">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1E90895F">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噪声防治</w:t>
            </w:r>
          </w:p>
        </w:tc>
        <w:tc>
          <w:tcPr>
            <w:tcW w:w="1648" w:type="pct"/>
            <w:noWrap w:val="0"/>
            <w:vAlign w:val="center"/>
          </w:tcPr>
          <w:p w14:paraId="6D333538">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优先选用低噪声设备，隔声、减振等噪声污染防治措施</w:t>
            </w:r>
          </w:p>
        </w:tc>
        <w:tc>
          <w:tcPr>
            <w:tcW w:w="1714" w:type="pct"/>
            <w:noWrap w:val="0"/>
            <w:vAlign w:val="center"/>
          </w:tcPr>
          <w:p w14:paraId="08DE4BAE">
            <w:pPr>
              <w:pStyle w:val="31"/>
              <w:widowControl/>
              <w:spacing w:line="240" w:lineRule="auto"/>
              <w:jc w:val="both"/>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选用低噪声设备，</w:t>
            </w:r>
            <w:r>
              <w:rPr>
                <w:rFonts w:hint="default" w:ascii="Times New Roman" w:hAnsi="Times New Roman" w:eastAsia="宋体" w:cs="Times New Roman"/>
                <w:color w:val="auto"/>
                <w:kern w:val="0"/>
                <w:sz w:val="21"/>
                <w:szCs w:val="21"/>
                <w:lang w:val="en-US" w:eastAsia="zh-CN"/>
              </w:rPr>
              <w:t>采取</w:t>
            </w:r>
            <w:r>
              <w:rPr>
                <w:rFonts w:hint="default" w:ascii="Times New Roman" w:hAnsi="Times New Roman" w:eastAsia="宋体" w:cs="Times New Roman"/>
                <w:color w:val="auto"/>
                <w:kern w:val="0"/>
                <w:sz w:val="21"/>
                <w:szCs w:val="21"/>
              </w:rPr>
              <w:t>隔声、减振等噪声污染防治措施</w:t>
            </w:r>
          </w:p>
        </w:tc>
        <w:tc>
          <w:tcPr>
            <w:tcW w:w="663" w:type="pct"/>
            <w:noWrap w:val="0"/>
            <w:vAlign w:val="center"/>
          </w:tcPr>
          <w:p w14:paraId="441B6C88">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6AB4E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52CE7E3C">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54A934DA">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固废处置</w:t>
            </w:r>
          </w:p>
        </w:tc>
        <w:tc>
          <w:tcPr>
            <w:tcW w:w="1648" w:type="pct"/>
            <w:noWrap w:val="0"/>
            <w:vAlign w:val="center"/>
          </w:tcPr>
          <w:p w14:paraId="101E89DE">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snapToGrid w:val="0"/>
                <w:color w:val="auto"/>
                <w:kern w:val="0"/>
                <w:sz w:val="21"/>
                <w:szCs w:val="21"/>
              </w:rPr>
              <w:t>超细粉、除尘灰作为原料返回生产，废滤膜、废滤棉和废布袋由厂家回收，炉渣、金属碎屑等一般工业固废可回收利用，外售给相应厂家回收综合利用；废液压油、废润滑油、废切削液沉渣、过滤杂质和过滤介质、镍渣、含镍废槽液、退镀废液、废水处理污泥、废活性炭等属于危险废物，收集后委托有资质的危险废物处置单位处理，生活垃圾委托环卫部门清运，食堂油烟净化器收集的废油有餐厨垃圾处置资质的单位处置</w:t>
            </w:r>
          </w:p>
        </w:tc>
        <w:tc>
          <w:tcPr>
            <w:tcW w:w="1714" w:type="pct"/>
            <w:noWrap w:val="0"/>
            <w:vAlign w:val="center"/>
          </w:tcPr>
          <w:p w14:paraId="3A827321">
            <w:pPr>
              <w:pStyle w:val="31"/>
              <w:widowControl/>
              <w:spacing w:line="240" w:lineRule="auto"/>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超细粉、除尘灰作为原料返回生产，废滤膜、废滤棉和废布袋由厂家回收，炉渣、金属碎屑等一般工业固废可回收利用，外售给相应厂家回收综合利用；废液压油、废润滑油、废切削液沉渣、废活性炭等属于危险废物，收集后委托有资质的危险废物处置单位处理，生活垃圾委托环卫部门清运，食堂油烟净化器收集的废油有餐厨垃圾处置资质的单位处置</w:t>
            </w:r>
          </w:p>
        </w:tc>
        <w:tc>
          <w:tcPr>
            <w:tcW w:w="663" w:type="pct"/>
            <w:noWrap w:val="0"/>
            <w:vAlign w:val="center"/>
          </w:tcPr>
          <w:p w14:paraId="3273A6C9">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r w14:paraId="2489F1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20CB3A37">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6C36D572">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一般固废暂存场所</w:t>
            </w:r>
          </w:p>
        </w:tc>
        <w:tc>
          <w:tcPr>
            <w:tcW w:w="1648" w:type="pct"/>
            <w:noWrap w:val="0"/>
            <w:vAlign w:val="center"/>
          </w:tcPr>
          <w:p w14:paraId="3523709A">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snapToGrid w:val="0"/>
                <w:color w:val="auto"/>
                <w:kern w:val="0"/>
                <w:sz w:val="21"/>
                <w:szCs w:val="21"/>
              </w:rPr>
              <w:t>为满足改扩建项目实收全厂一般固废暂存要求，在1#厂房南侧新建105m</w:t>
            </w:r>
            <w:r>
              <w:rPr>
                <w:rFonts w:hint="default" w:ascii="Times New Roman" w:hAnsi="Times New Roman" w:eastAsia="宋体" w:cs="Times New Roman"/>
                <w:snapToGrid w:val="0"/>
                <w:color w:val="auto"/>
                <w:kern w:val="0"/>
                <w:sz w:val="21"/>
                <w:szCs w:val="21"/>
                <w:vertAlign w:val="superscript"/>
              </w:rPr>
              <w:t>2</w:t>
            </w:r>
            <w:r>
              <w:rPr>
                <w:rFonts w:hint="default" w:ascii="Times New Roman" w:hAnsi="Times New Roman" w:eastAsia="宋体" w:cs="Times New Roman"/>
                <w:snapToGrid w:val="0"/>
                <w:color w:val="auto"/>
                <w:kern w:val="0"/>
                <w:sz w:val="21"/>
                <w:szCs w:val="21"/>
              </w:rPr>
              <w:t>固废暂存间1座</w:t>
            </w:r>
          </w:p>
        </w:tc>
        <w:tc>
          <w:tcPr>
            <w:tcW w:w="1714" w:type="pct"/>
            <w:noWrap w:val="0"/>
            <w:vAlign w:val="center"/>
          </w:tcPr>
          <w:p w14:paraId="6A10DDAE">
            <w:pPr>
              <w:pStyle w:val="31"/>
              <w:widowControl/>
              <w:spacing w:line="240" w:lineRule="auto"/>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实际在1#厂房北侧新建40m</w:t>
            </w:r>
            <w:r>
              <w:rPr>
                <w:rFonts w:hint="default" w:ascii="Times New Roman" w:hAnsi="Times New Roman" w:eastAsia="宋体" w:cs="Times New Roman"/>
                <w:color w:val="auto"/>
                <w:kern w:val="0"/>
                <w:sz w:val="21"/>
                <w:szCs w:val="21"/>
                <w:vertAlign w:val="superscript"/>
                <w:lang w:val="en-US" w:eastAsia="zh-CN"/>
              </w:rPr>
              <w:t>2</w:t>
            </w:r>
            <w:r>
              <w:rPr>
                <w:rFonts w:hint="default" w:ascii="Times New Roman" w:hAnsi="Times New Roman" w:eastAsia="宋体" w:cs="Times New Roman"/>
                <w:color w:val="auto"/>
                <w:kern w:val="0"/>
                <w:sz w:val="21"/>
                <w:szCs w:val="21"/>
                <w:lang w:val="en-US" w:eastAsia="zh-CN"/>
              </w:rPr>
              <w:t>固废暂存间1座，可满足现状需求</w:t>
            </w:r>
          </w:p>
        </w:tc>
        <w:tc>
          <w:tcPr>
            <w:tcW w:w="663" w:type="pct"/>
            <w:noWrap w:val="0"/>
            <w:vAlign w:val="center"/>
          </w:tcPr>
          <w:p w14:paraId="14F2BC09">
            <w:pPr>
              <w:pStyle w:val="31"/>
              <w:widowControl/>
              <w:spacing w:line="240"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位置面积发生变化</w:t>
            </w:r>
          </w:p>
        </w:tc>
      </w:tr>
      <w:tr w14:paraId="43804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2B2D8B88">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25E2A08E">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危废暂存场所</w:t>
            </w:r>
          </w:p>
        </w:tc>
        <w:tc>
          <w:tcPr>
            <w:tcW w:w="1648" w:type="pct"/>
            <w:noWrap w:val="0"/>
            <w:vAlign w:val="center"/>
          </w:tcPr>
          <w:p w14:paraId="37AE9426">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为满足改扩建项目实施后危废暂存要求将现有危废暂存库扩建至75m</w:t>
            </w:r>
            <w:r>
              <w:rPr>
                <w:rFonts w:hint="default" w:ascii="Times New Roman" w:hAnsi="Times New Roman" w:eastAsia="宋体" w:cs="Times New Roman"/>
                <w:color w:val="auto"/>
                <w:kern w:val="0"/>
                <w:sz w:val="21"/>
                <w:szCs w:val="21"/>
                <w:vertAlign w:val="superscript"/>
              </w:rPr>
              <w:t>2</w:t>
            </w:r>
          </w:p>
        </w:tc>
        <w:tc>
          <w:tcPr>
            <w:tcW w:w="1714" w:type="pct"/>
            <w:noWrap w:val="0"/>
            <w:vAlign w:val="center"/>
          </w:tcPr>
          <w:p w14:paraId="00849256">
            <w:pPr>
              <w:pStyle w:val="31"/>
              <w:widowControl/>
              <w:spacing w:line="240" w:lineRule="auto"/>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实际依托现有危废库，可满足现状需求</w:t>
            </w:r>
          </w:p>
        </w:tc>
        <w:tc>
          <w:tcPr>
            <w:tcW w:w="663" w:type="pct"/>
            <w:noWrap w:val="0"/>
            <w:vAlign w:val="center"/>
          </w:tcPr>
          <w:p w14:paraId="63FF65C5">
            <w:pPr>
              <w:pStyle w:val="31"/>
              <w:widowControl/>
              <w:spacing w:line="240"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未</w:t>
            </w:r>
            <w:r>
              <w:rPr>
                <w:rFonts w:hint="eastAsia" w:eastAsia="宋体" w:cs="Times New Roman"/>
                <w:color w:val="auto"/>
                <w:kern w:val="0"/>
                <w:sz w:val="21"/>
                <w:szCs w:val="21"/>
                <w:lang w:val="en-US" w:eastAsia="zh-CN"/>
              </w:rPr>
              <w:t>建设</w:t>
            </w:r>
          </w:p>
        </w:tc>
      </w:tr>
      <w:tr w14:paraId="0BEF9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6A52ED36">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764831CD">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环境风险</w:t>
            </w:r>
          </w:p>
        </w:tc>
        <w:tc>
          <w:tcPr>
            <w:tcW w:w="1648" w:type="pct"/>
            <w:noWrap w:val="0"/>
            <w:vAlign w:val="center"/>
          </w:tcPr>
          <w:p w14:paraId="4C0F2A95">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snapToGrid w:val="0"/>
                <w:color w:val="auto"/>
                <w:kern w:val="0"/>
                <w:sz w:val="21"/>
                <w:szCs w:val="21"/>
              </w:rPr>
              <w:t>改扩建项目新建1座310m</w:t>
            </w:r>
            <w:r>
              <w:rPr>
                <w:rFonts w:hint="default" w:ascii="Times New Roman" w:hAnsi="Times New Roman" w:eastAsia="宋体" w:cs="Times New Roman"/>
                <w:snapToGrid w:val="0"/>
                <w:color w:val="auto"/>
                <w:kern w:val="0"/>
                <w:sz w:val="21"/>
                <w:szCs w:val="21"/>
                <w:vertAlign w:val="superscript"/>
              </w:rPr>
              <w:t>3</w:t>
            </w:r>
            <w:r>
              <w:rPr>
                <w:rFonts w:hint="default" w:ascii="Times New Roman" w:hAnsi="Times New Roman" w:eastAsia="宋体" w:cs="Times New Roman"/>
                <w:snapToGrid w:val="0"/>
                <w:color w:val="auto"/>
                <w:kern w:val="0"/>
                <w:sz w:val="21"/>
                <w:szCs w:val="21"/>
              </w:rPr>
              <w:t>事故池</w:t>
            </w:r>
          </w:p>
        </w:tc>
        <w:tc>
          <w:tcPr>
            <w:tcW w:w="1714" w:type="pct"/>
            <w:noWrap w:val="0"/>
            <w:vAlign w:val="center"/>
          </w:tcPr>
          <w:p w14:paraId="332DC925">
            <w:pPr>
              <w:pStyle w:val="31"/>
              <w:widowControl/>
              <w:spacing w:line="240" w:lineRule="auto"/>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rPr>
              <w:t>实际依托现有</w:t>
            </w:r>
            <w:r>
              <w:rPr>
                <w:rFonts w:hint="default" w:ascii="Times New Roman" w:hAnsi="Times New Roman" w:eastAsia="宋体" w:cs="Times New Roman"/>
                <w:color w:val="auto"/>
                <w:kern w:val="0"/>
                <w:sz w:val="21"/>
                <w:szCs w:val="21"/>
                <w:lang w:val="en-US" w:eastAsia="zh-CN"/>
              </w:rPr>
              <w:t>应急事故池，可满足现状需求</w:t>
            </w:r>
          </w:p>
        </w:tc>
        <w:tc>
          <w:tcPr>
            <w:tcW w:w="663" w:type="pct"/>
            <w:noWrap w:val="0"/>
            <w:vAlign w:val="center"/>
          </w:tcPr>
          <w:p w14:paraId="0EE3E6BB">
            <w:pPr>
              <w:pStyle w:val="31"/>
              <w:widowControl/>
              <w:spacing w:line="240" w:lineRule="auto"/>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未建设</w:t>
            </w:r>
          </w:p>
        </w:tc>
      </w:tr>
      <w:tr w14:paraId="6BDA75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28" w:type="dxa"/>
            <w:bottom w:w="0" w:type="dxa"/>
            <w:right w:w="28" w:type="dxa"/>
          </w:tblCellMar>
        </w:tblPrEx>
        <w:trPr>
          <w:trHeight w:val="340" w:hRule="atLeast"/>
          <w:jc w:val="center"/>
        </w:trPr>
        <w:tc>
          <w:tcPr>
            <w:tcW w:w="363" w:type="pct"/>
            <w:vMerge w:val="continue"/>
            <w:noWrap w:val="0"/>
            <w:vAlign w:val="center"/>
          </w:tcPr>
          <w:p w14:paraId="5CDE6490">
            <w:pPr>
              <w:widowControl/>
              <w:adjustRightInd w:val="0"/>
              <w:snapToGrid w:val="0"/>
              <w:spacing w:line="240" w:lineRule="auto"/>
              <w:ind w:firstLine="0" w:firstLineChars="0"/>
              <w:jc w:val="center"/>
              <w:rPr>
                <w:rFonts w:hint="default" w:ascii="Times New Roman" w:hAnsi="Times New Roman" w:eastAsia="宋体" w:cs="Times New Roman"/>
                <w:bCs/>
                <w:color w:val="auto"/>
                <w:kern w:val="0"/>
                <w:sz w:val="21"/>
                <w:szCs w:val="21"/>
              </w:rPr>
            </w:pPr>
          </w:p>
        </w:tc>
        <w:tc>
          <w:tcPr>
            <w:tcW w:w="610" w:type="pct"/>
            <w:gridSpan w:val="2"/>
            <w:noWrap w:val="0"/>
            <w:vAlign w:val="center"/>
          </w:tcPr>
          <w:p w14:paraId="10F3AF6C">
            <w:pPr>
              <w:pStyle w:val="31"/>
              <w:widowControl/>
              <w:adjustRightInd w:val="0"/>
              <w:snapToGrid w:val="0"/>
              <w:spacing w:beforeLines="0" w:afterLines="0"/>
              <w:ind w:firstLine="0" w:firstLineChars="0"/>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土壤和地下水防治</w:t>
            </w:r>
          </w:p>
        </w:tc>
        <w:tc>
          <w:tcPr>
            <w:tcW w:w="1648" w:type="pct"/>
            <w:noWrap w:val="0"/>
            <w:vAlign w:val="center"/>
          </w:tcPr>
          <w:p w14:paraId="7EE2DEB5">
            <w:pPr>
              <w:pStyle w:val="31"/>
              <w:widowControl/>
              <w:adjustRightInd w:val="0"/>
              <w:snapToGrid w:val="0"/>
              <w:spacing w:beforeLines="0" w:afterLines="0"/>
              <w:jc w:val="left"/>
              <w:rPr>
                <w:rFonts w:hint="default" w:ascii="Times New Roman" w:hAnsi="Times New Roman" w:eastAsia="宋体" w:cs="Times New Roman"/>
                <w:snapToGrid w:val="0"/>
                <w:color w:val="auto"/>
                <w:kern w:val="0"/>
                <w:sz w:val="21"/>
                <w:szCs w:val="21"/>
              </w:rPr>
            </w:pPr>
            <w:r>
              <w:rPr>
                <w:rFonts w:hint="default" w:ascii="Times New Roman" w:hAnsi="Times New Roman" w:eastAsia="宋体" w:cs="Times New Roman"/>
                <w:snapToGrid w:val="0"/>
                <w:color w:val="auto"/>
                <w:kern w:val="0"/>
                <w:sz w:val="21"/>
                <w:szCs w:val="21"/>
              </w:rPr>
              <w:t>①分区防渗。将改扩建项目危废暂存库、新建综合废水处理站（二期）、新建含铬废水处理站、危化品库划分为重点防渗区；一般固废暂存间、食堂划分为一般防渗区；篮球场等其他区域划分为简单防渗区；由于改扩建项目新增表面处理线位于3F，不会发生渗漏进而造成周边土壤和地下水污染物，故划为简单防渗区，建议地面涂抹环氧树脂层；</w:t>
            </w:r>
          </w:p>
          <w:p w14:paraId="6DE3411B">
            <w:pPr>
              <w:pStyle w:val="31"/>
              <w:widowControl/>
              <w:adjustRightInd w:val="0"/>
              <w:snapToGrid w:val="0"/>
              <w:spacing w:beforeLines="0" w:afterLines="0"/>
              <w:ind w:firstLine="0" w:firstLineChars="0"/>
              <w:jc w:val="left"/>
              <w:rPr>
                <w:rFonts w:hint="default" w:ascii="Times New Roman" w:hAnsi="Times New Roman" w:eastAsia="宋体" w:cs="Times New Roman"/>
                <w:color w:val="auto"/>
                <w:kern w:val="0"/>
                <w:sz w:val="21"/>
                <w:szCs w:val="21"/>
                <w:lang w:val="en-US" w:eastAsia="zh-CN"/>
              </w:rPr>
            </w:pPr>
            <w:r>
              <w:rPr>
                <w:rFonts w:hint="eastAsia" w:cs="Times New Roman"/>
                <w:snapToGrid w:val="0"/>
                <w:color w:val="auto"/>
                <w:kern w:val="0"/>
                <w:sz w:val="21"/>
                <w:szCs w:val="21"/>
                <w:lang w:val="en-US" w:eastAsia="zh-CN"/>
              </w:rPr>
              <w:t>②</w:t>
            </w:r>
            <w:r>
              <w:rPr>
                <w:rFonts w:hint="default" w:ascii="Times New Roman" w:hAnsi="Times New Roman" w:eastAsia="宋体" w:cs="Times New Roman"/>
                <w:snapToGrid w:val="0"/>
                <w:color w:val="auto"/>
                <w:kern w:val="0"/>
                <w:sz w:val="21"/>
                <w:szCs w:val="21"/>
              </w:rPr>
              <w:t>地下水跟踪监测。在现有厂区东侧新增1眼地下水水质监控井</w:t>
            </w:r>
          </w:p>
        </w:tc>
        <w:tc>
          <w:tcPr>
            <w:tcW w:w="1714" w:type="pct"/>
            <w:noWrap w:val="0"/>
            <w:vAlign w:val="center"/>
          </w:tcPr>
          <w:p w14:paraId="6FB9FFB4">
            <w:pPr>
              <w:pStyle w:val="31"/>
              <w:widowControl/>
              <w:spacing w:line="240" w:lineRule="auto"/>
              <w:jc w:val="both"/>
              <w:rPr>
                <w:rFonts w:hint="default" w:ascii="Times New Roman" w:hAnsi="Times New Roman" w:eastAsia="宋体" w:cs="Times New Roman"/>
                <w:color w:val="auto"/>
                <w:kern w:val="0"/>
                <w:sz w:val="21"/>
                <w:szCs w:val="21"/>
                <w:lang w:val="en-US" w:eastAsia="zh-CN"/>
              </w:rPr>
            </w:pPr>
            <w:r>
              <w:rPr>
                <w:rFonts w:hint="default" w:ascii="Times New Roman" w:hAnsi="Times New Roman" w:eastAsia="宋体" w:cs="Times New Roman"/>
                <w:color w:val="auto"/>
                <w:kern w:val="0"/>
                <w:sz w:val="21"/>
                <w:szCs w:val="21"/>
                <w:lang w:val="en-US" w:eastAsia="zh-CN"/>
              </w:rPr>
              <w:t>按照要求开展分区防渗并按要求新增地下水水质监控井1眼。</w:t>
            </w:r>
          </w:p>
        </w:tc>
        <w:tc>
          <w:tcPr>
            <w:tcW w:w="663" w:type="pct"/>
            <w:noWrap w:val="0"/>
            <w:vAlign w:val="center"/>
          </w:tcPr>
          <w:p w14:paraId="13DE9E45">
            <w:pPr>
              <w:pStyle w:val="31"/>
              <w:widowControl/>
              <w:spacing w:line="240" w:lineRule="auto"/>
              <w:rPr>
                <w:rFonts w:hint="default" w:ascii="Times New Roman" w:hAnsi="Times New Roman" w:eastAsia="宋体" w:cs="Times New Roman"/>
                <w:color w:val="auto"/>
                <w:kern w:val="0"/>
                <w:sz w:val="21"/>
                <w:szCs w:val="21"/>
              </w:rPr>
            </w:pPr>
            <w:r>
              <w:rPr>
                <w:rFonts w:hint="default" w:ascii="Times New Roman" w:hAnsi="Times New Roman" w:eastAsia="宋体" w:cs="Times New Roman"/>
                <w:color w:val="auto"/>
                <w:kern w:val="0"/>
                <w:sz w:val="21"/>
                <w:szCs w:val="21"/>
              </w:rPr>
              <w:t>与环评一致</w:t>
            </w:r>
          </w:p>
        </w:tc>
      </w:tr>
    </w:tbl>
    <w:p w14:paraId="2954F6A1">
      <w:pPr>
        <w:keepNext w:val="0"/>
        <w:keepLines w:val="0"/>
        <w:pageBreakBefore w:val="0"/>
        <w:widowControl/>
        <w:suppressLineNumbers w:val="0"/>
        <w:kinsoku/>
        <w:wordWrap/>
        <w:overflowPunct/>
        <w:topLinePunct w:val="0"/>
        <w:autoSpaceDE/>
        <w:autoSpaceDN/>
        <w:bidi w:val="0"/>
        <w:adjustRightInd/>
        <w:snapToGrid/>
        <w:spacing w:line="580" w:lineRule="exact"/>
        <w:ind w:firstLine="480" w:firstLineChars="200"/>
        <w:jc w:val="left"/>
        <w:textAlignment w:val="auto"/>
        <w:rPr>
          <w:rFonts w:hint="default" w:ascii="Times New Roman" w:hAnsi="Times New Roman" w:eastAsia="仿宋_GB2312" w:cs="Times New Roman"/>
        </w:rPr>
      </w:pPr>
    </w:p>
    <w:p w14:paraId="27D893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sectPr>
          <w:pgSz w:w="16838" w:h="11906" w:orient="landscape"/>
          <w:pgMar w:top="1587" w:right="2098" w:bottom="1474" w:left="1984" w:header="851" w:footer="992" w:gutter="0"/>
          <w:cols w:space="0" w:num="1"/>
          <w:rtlGutter w:val="0"/>
          <w:docGrid w:type="lines" w:linePitch="312" w:charSpace="0"/>
        </w:sectPr>
      </w:pPr>
    </w:p>
    <w:p w14:paraId="0E5CF0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三、防治污染设施的建设情况</w:t>
      </w:r>
    </w:p>
    <w:p w14:paraId="62E5D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我公司按照环保“三同时”制度的要求，落实了环评报告中的各项环保措施。</w:t>
      </w:r>
    </w:p>
    <w:p w14:paraId="624428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1、废气</w:t>
      </w:r>
    </w:p>
    <w:p w14:paraId="158B31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本项目产生的废气主要是镀铜镍线产生的酸雾。</w:t>
      </w:r>
    </w:p>
    <w:p w14:paraId="3A8809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本项目3#滚铜镍线产生的酸雾经收集后通过管道引至碱液喷淋吸收塔进行处理，处理达标后通过DA002排气筒排放。</w:t>
      </w:r>
    </w:p>
    <w:p w14:paraId="110355E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2、废水</w:t>
      </w:r>
    </w:p>
    <w:p w14:paraId="0EE146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本项目产生的废水主要是镀铜镍线废水（含铜废水、含镍废水）、纯水制备产生的浓水、碱液喷淋吸收塔废水和生活污水。</w:t>
      </w:r>
    </w:p>
    <w:p w14:paraId="71CA8B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①含铜废水：含铜废水经过调节池+破络反应池+物化处理系统+活性炭罐+调节池处理后回用于振磨工序，</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极少部分</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外排；</w:t>
      </w:r>
    </w:p>
    <w:p w14:paraId="6BEFE4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②含镍废水经调节池+树脂罐+物化处理系统+活性炭罐+调节罐处理达标后回用于振磨工序，极少部分外排；</w:t>
      </w:r>
    </w:p>
    <w:p w14:paraId="1B0C53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③纯水制备产生的浓水，部分回用于振磨工序，部分排入市政污水管网；</w:t>
      </w:r>
    </w:p>
    <w:p w14:paraId="704EDDE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④碱液喷淋吸收塔定期排放废水进入废水处理站，处理工艺为：综合废水池+pH调整槽+破络反应池+絮凝沉淀池+生化处理系统+中间水箱+pH调整槽+催化氧化处理系统+絮凝沉淀池+砂过滤器+活性炭过滤器+排水箱；</w:t>
      </w:r>
    </w:p>
    <w:p w14:paraId="695274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⑤生活污水：经化粪池处理后达到马鞍山城镇南部污水处理厂接管标准和《污水综合排放标准》（GB8978-1996）中三级标准后通过市政管网进入马鞍山城镇南部污水处理厂处理，尾水排入</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雨山</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河。</w:t>
      </w:r>
    </w:p>
    <w:p w14:paraId="7D1822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3、噪声</w:t>
      </w:r>
    </w:p>
    <w:p w14:paraId="0485950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本项目噪声主要来源于设备运行产生的动力噪声。</w:t>
      </w:r>
    </w:p>
    <w:p w14:paraId="3289405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对于设备运行过程中产生的噪声，采取的措施主要有：选用低噪声设备，并且厂区合理布局，将高噪声设备设于厂房或者单独专用房内进行隔声，并采取相应的基础减振、消声等措施。</w:t>
      </w:r>
    </w:p>
    <w:p w14:paraId="55F2BB4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4、固体废物</w:t>
      </w:r>
    </w:p>
    <w:p w14:paraId="747136C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本项目产生的固废主要有废过滤杂质和过滤介质、含铜污泥、含镍污泥、综合污泥、废树脂、废活性炭、废化学品包装材料、废滤芯和生活垃圾。</w:t>
      </w:r>
    </w:p>
    <w:p w14:paraId="74ECEB8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废过滤杂质和过滤介质、含铜污泥、含镍污泥、综合污泥、废树脂、废活性炭、废化学品包装材料属于危险废物，危废库暂存后委托马鞍山澳新环保科技有限公司</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安徽超越环保科技股份有限公司、郎溪华远固体废物处置有限公司</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回收处置。废滤芯属于一般工业固废，委托厂家回收。生活垃圾由环卫部门统一清运。</w:t>
      </w:r>
    </w:p>
    <w:p w14:paraId="3E752FD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一般固废库和危废库依托公司现有。</w:t>
      </w:r>
    </w:p>
    <w:p w14:paraId="532144F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四、“三同时”手续落实情况</w:t>
      </w:r>
    </w:p>
    <w:p w14:paraId="0BFF498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20</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23</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年</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4</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月</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1</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7日马鞍山市</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生态环境局</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以《关于中钢天源股份有限公司年产2000吨高性能钕铁硼稀土永磁材料改扩建工程环境影响报告书的批复》（马环审</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〔2023〕20号</w:t>
      </w: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）对项目进行了批复，同意该项目建设。目前项目主体工程与环保工程等基本按照“三同时”要求建设完成。</w:t>
      </w:r>
    </w:p>
    <w:p w14:paraId="10C5AA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五、企业承诺</w:t>
      </w:r>
    </w:p>
    <w:p w14:paraId="59584C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我公司承诺，严格执行国家、省、市相关法律法规及规定，认真落实环评及批复提出的各项污染防治措施，加强环保设施运行、维护和管理，确保污染物达标排放；建立健全环境保护制度、档案、台账；企业对所公开的</w:t>
      </w:r>
      <w:bookmarkStart w:id="0" w:name="_GoBack"/>
      <w:bookmarkEnd w:id="0"/>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信息真实性、准确性负责。</w:t>
      </w:r>
    </w:p>
    <w:p w14:paraId="5C14FF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2"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b/>
          <w:bCs/>
          <w:i w:val="0"/>
          <w:iCs w:val="0"/>
          <w:caps w:val="0"/>
          <w:color w:val="000000" w:themeColor="text1"/>
          <w:spacing w:val="0"/>
          <w:kern w:val="0"/>
          <w:sz w:val="24"/>
          <w:szCs w:val="24"/>
          <w:shd w:val="clear" w:fill="FFFFFF"/>
          <w:lang w:val="en-US" w:eastAsia="zh-CN" w:bidi="ar"/>
          <w14:textFill>
            <w14:solidFill>
              <w14:schemeClr w14:val="tx1"/>
            </w14:solidFill>
          </w14:textFill>
        </w:rPr>
        <w:t>六、接受监督</w:t>
      </w:r>
    </w:p>
    <w:p w14:paraId="53EB56B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我公司对所公开的信息的真实性、准确性负责，接受环保部门及社会各界的监督。</w:t>
      </w:r>
    </w:p>
    <w:p w14:paraId="67FCEC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企业联系人：蒋莹18355537665</w:t>
      </w:r>
    </w:p>
    <w:p w14:paraId="4E186C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both"/>
        <w:textAlignment w:val="auto"/>
        <w:rPr>
          <w:rFonts w:hint="default" w:ascii="Times New Roman" w:hAnsi="Times New Roman" w:eastAsia="仿宋_GB2312" w:cs="Times New Roman"/>
          <w:i w:val="0"/>
          <w:iCs w:val="0"/>
          <w:caps w:val="0"/>
          <w:color w:val="333333"/>
          <w:spacing w:val="0"/>
          <w:sz w:val="24"/>
          <w:szCs w:val="24"/>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 </w:t>
      </w:r>
    </w:p>
    <w:p w14:paraId="0EF874D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right"/>
        <w:textAlignment w:val="auto"/>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pPr>
      <w:r>
        <w:rPr>
          <w:rFonts w:hint="default" w:ascii="Times New Roman" w:hAnsi="Times New Roman"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中钢天源股份有限公司</w:t>
      </w:r>
      <w:r>
        <w:rPr>
          <w:rFonts w:hint="eastAsia"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t>钕铁硼厂</w:t>
      </w:r>
    </w:p>
    <w:p w14:paraId="7D41A36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0" w:lineRule="exact"/>
        <w:ind w:left="0" w:right="0" w:firstLine="480" w:firstLineChars="200"/>
        <w:jc w:val="right"/>
        <w:textAlignment w:val="auto"/>
        <w:rPr>
          <w:rFonts w:hint="default" w:eastAsia="仿宋_GB2312" w:cs="Times New Roman"/>
          <w:i w:val="0"/>
          <w:iCs w:val="0"/>
          <w:caps w:val="0"/>
          <w:color w:val="000000" w:themeColor="text1"/>
          <w:spacing w:val="0"/>
          <w:kern w:val="0"/>
          <w:sz w:val="24"/>
          <w:szCs w:val="24"/>
          <w:shd w:val="clear" w:fill="FFFFFF"/>
          <w:lang w:val="en-US" w:eastAsia="zh-CN" w:bidi="ar"/>
          <w14:textFill>
            <w14:solidFill>
              <w14:schemeClr w14:val="tx1"/>
            </w14:solidFill>
          </w14:textFill>
        </w:rPr>
      </w:pPr>
    </w:p>
    <w:p w14:paraId="51A2EA51">
      <w:pPr>
        <w:keepNext w:val="0"/>
        <w:keepLines w:val="0"/>
        <w:pageBreakBefore w:val="0"/>
        <w:kinsoku/>
        <w:wordWrap/>
        <w:overflowPunct/>
        <w:topLinePunct w:val="0"/>
        <w:autoSpaceDE/>
        <w:autoSpaceDN/>
        <w:bidi w:val="0"/>
        <w:adjustRightInd/>
        <w:snapToGrid/>
        <w:spacing w:line="580" w:lineRule="exact"/>
        <w:ind w:left="0" w:leftChars="0" w:firstLine="480" w:firstLineChars="200"/>
        <w:textAlignment w:val="auto"/>
        <w:rPr>
          <w:rFonts w:hint="default" w:ascii="Times New Roman" w:hAnsi="Times New Roman" w:eastAsia="仿宋_GB2312" w:cs="Times New Roman"/>
        </w:rPr>
      </w:pPr>
    </w:p>
    <w:sectPr>
      <w:pgSz w:w="11906" w:h="16838"/>
      <w:pgMar w:top="2098" w:right="1474" w:bottom="1984" w:left="1587"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80"/>
      </w:pPr>
      <w:r>
        <w:separator/>
      </w:r>
    </w:p>
  </w:endnote>
  <w:endnote w:type="continuationSeparator" w:id="1">
    <w:p>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1" w:fontKey="{19EA6F4D-ECC9-48BD-B808-3CDF03DDE04D}"/>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80"/>
      </w:pPr>
      <w:r>
        <w:separator/>
      </w:r>
    </w:p>
  </w:footnote>
  <w:footnote w:type="continuationSeparator" w:id="1">
    <w:p>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ZjZjZjEzODc1Yjc0NWM4ODM5ZGEyNTQ5MGJhYTMifQ=="/>
  </w:docVars>
  <w:rsids>
    <w:rsidRoot w:val="00000000"/>
    <w:rsid w:val="01D23531"/>
    <w:rsid w:val="039B4076"/>
    <w:rsid w:val="04B425C4"/>
    <w:rsid w:val="04EC36E8"/>
    <w:rsid w:val="051E33C6"/>
    <w:rsid w:val="05946D6A"/>
    <w:rsid w:val="07466F30"/>
    <w:rsid w:val="078B7B6F"/>
    <w:rsid w:val="078F59E9"/>
    <w:rsid w:val="0955265E"/>
    <w:rsid w:val="0C0E2BFD"/>
    <w:rsid w:val="0E2F3B55"/>
    <w:rsid w:val="11E938F1"/>
    <w:rsid w:val="13EA0AB8"/>
    <w:rsid w:val="16037F11"/>
    <w:rsid w:val="17D7387E"/>
    <w:rsid w:val="19244576"/>
    <w:rsid w:val="19A10699"/>
    <w:rsid w:val="1C980BF7"/>
    <w:rsid w:val="1D497F91"/>
    <w:rsid w:val="1DCB6C69"/>
    <w:rsid w:val="1E6A69C7"/>
    <w:rsid w:val="1FC72E8E"/>
    <w:rsid w:val="1FFE4F50"/>
    <w:rsid w:val="22277108"/>
    <w:rsid w:val="24D740D4"/>
    <w:rsid w:val="25360586"/>
    <w:rsid w:val="269D2766"/>
    <w:rsid w:val="27A75F8C"/>
    <w:rsid w:val="28417F2C"/>
    <w:rsid w:val="290A60E3"/>
    <w:rsid w:val="296B2A6A"/>
    <w:rsid w:val="2A3C7759"/>
    <w:rsid w:val="2B0C0F41"/>
    <w:rsid w:val="2C1923E3"/>
    <w:rsid w:val="2E16582B"/>
    <w:rsid w:val="306E0510"/>
    <w:rsid w:val="306E7FE2"/>
    <w:rsid w:val="34AC2E87"/>
    <w:rsid w:val="34DE2CCB"/>
    <w:rsid w:val="356D3A3D"/>
    <w:rsid w:val="379E6A5F"/>
    <w:rsid w:val="38284DA4"/>
    <w:rsid w:val="391336E5"/>
    <w:rsid w:val="39934A55"/>
    <w:rsid w:val="3D6D6452"/>
    <w:rsid w:val="3EF14050"/>
    <w:rsid w:val="3EF766CA"/>
    <w:rsid w:val="41275BF7"/>
    <w:rsid w:val="42083CE0"/>
    <w:rsid w:val="43970FE1"/>
    <w:rsid w:val="44B44DA7"/>
    <w:rsid w:val="45E30920"/>
    <w:rsid w:val="495B4856"/>
    <w:rsid w:val="4DB05E50"/>
    <w:rsid w:val="53006AF4"/>
    <w:rsid w:val="56A70289"/>
    <w:rsid w:val="570C289B"/>
    <w:rsid w:val="57402630"/>
    <w:rsid w:val="58171515"/>
    <w:rsid w:val="5A9263A6"/>
    <w:rsid w:val="5B402573"/>
    <w:rsid w:val="5BDE56F5"/>
    <w:rsid w:val="5EE94B54"/>
    <w:rsid w:val="60841264"/>
    <w:rsid w:val="60BB2ED0"/>
    <w:rsid w:val="62CF1A22"/>
    <w:rsid w:val="64537D84"/>
    <w:rsid w:val="697002D3"/>
    <w:rsid w:val="69E71019"/>
    <w:rsid w:val="6AE54988"/>
    <w:rsid w:val="6AFA7B81"/>
    <w:rsid w:val="6DDB1995"/>
    <w:rsid w:val="70A703CB"/>
    <w:rsid w:val="70BB0978"/>
    <w:rsid w:val="7206621D"/>
    <w:rsid w:val="725B22AA"/>
    <w:rsid w:val="74736E99"/>
    <w:rsid w:val="748E1122"/>
    <w:rsid w:val="756135DF"/>
    <w:rsid w:val="7B0C08EF"/>
    <w:rsid w:val="7BB76A84"/>
    <w:rsid w:val="7D282840"/>
    <w:rsid w:val="7E553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600" w:firstLineChars="200"/>
      <w:jc w:val="both"/>
    </w:pPr>
    <w:rPr>
      <w:rFonts w:ascii="Times New Roman" w:hAnsi="Times New Roman" w:eastAsia="宋体" w:cs="Times New Roman"/>
      <w:color w:val="000000" w:themeColor="text1"/>
      <w:kern w:val="2"/>
      <w:sz w:val="24"/>
      <w:szCs w:val="30"/>
      <w:lang w:val="en-US" w:eastAsia="zh-CN" w:bidi="ar-SA"/>
      <w14:textFill>
        <w14:solidFill>
          <w14:schemeClr w14:val="tx1"/>
        </w14:solidFill>
      </w14:textFill>
    </w:rPr>
  </w:style>
  <w:style w:type="paragraph" w:styleId="2">
    <w:name w:val="heading 1"/>
    <w:basedOn w:val="1"/>
    <w:link w:val="17"/>
    <w:autoRedefine/>
    <w:qFormat/>
    <w:uiPriority w:val="9"/>
    <w:pPr>
      <w:widowControl/>
      <w:spacing w:beforeAutospacing="0" w:afterAutospacing="0" w:line="30" w:lineRule="exact"/>
      <w:jc w:val="center"/>
      <w:outlineLvl w:val="0"/>
    </w:pPr>
    <w:rPr>
      <w:rFonts w:ascii="宋体" w:hAnsi="宋体" w:eastAsia="宋体" w:cs="宋体"/>
      <w:b/>
      <w:bCs/>
      <w:kern w:val="36"/>
      <w:sz w:val="32"/>
      <w:szCs w:val="48"/>
    </w:rPr>
  </w:style>
  <w:style w:type="paragraph" w:styleId="3">
    <w:name w:val="heading 2"/>
    <w:basedOn w:val="1"/>
    <w:next w:val="1"/>
    <w:link w:val="14"/>
    <w:autoRedefine/>
    <w:semiHidden/>
    <w:unhideWhenUsed/>
    <w:qFormat/>
    <w:uiPriority w:val="0"/>
    <w:pPr>
      <w:ind w:firstLine="0" w:firstLineChars="0"/>
      <w:outlineLvl w:val="1"/>
    </w:pPr>
    <w:rPr>
      <w:rFonts w:ascii="Times New Roman" w:hAnsi="Times New Roman"/>
      <w:b/>
    </w:rPr>
  </w:style>
  <w:style w:type="paragraph" w:styleId="4">
    <w:name w:val="heading 3"/>
    <w:basedOn w:val="5"/>
    <w:next w:val="1"/>
    <w:link w:val="18"/>
    <w:autoRedefine/>
    <w:semiHidden/>
    <w:unhideWhenUsed/>
    <w:qFormat/>
    <w:uiPriority w:val="0"/>
    <w:pPr>
      <w:keepNext/>
      <w:keepLines/>
      <w:adjustRightInd/>
      <w:snapToGrid/>
      <w:spacing w:line="240" w:lineRule="auto"/>
      <w:ind w:firstLine="0" w:firstLineChars="0"/>
      <w:jc w:val="left"/>
      <w:outlineLvl w:val="2"/>
    </w:pPr>
    <w:rPr>
      <w:rFonts w:ascii="Times New Roman" w:hAnsi="Times New Roman"/>
      <w:bCs/>
      <w:sz w:val="28"/>
      <w:szCs w:val="32"/>
    </w:rPr>
  </w:style>
  <w:style w:type="paragraph" w:styleId="6">
    <w:name w:val="heading 4"/>
    <w:basedOn w:val="5"/>
    <w:next w:val="1"/>
    <w:link w:val="19"/>
    <w:autoRedefine/>
    <w:semiHidden/>
    <w:unhideWhenUsed/>
    <w:qFormat/>
    <w:uiPriority w:val="0"/>
    <w:pPr>
      <w:keepNext/>
      <w:keepLines/>
      <w:spacing w:line="240" w:lineRule="auto"/>
      <w:ind w:firstLine="0" w:firstLineChars="0"/>
      <w:jc w:val="left"/>
      <w:outlineLvl w:val="3"/>
    </w:pPr>
    <w:rPr>
      <w:rFonts w:ascii="Times New Roman" w:hAnsi="Times New Roman" w:cstheme="majorBidi"/>
      <w:bCs/>
      <w:sz w:val="24"/>
      <w:szCs w:val="28"/>
    </w:rPr>
  </w:style>
  <w:style w:type="character" w:default="1" w:styleId="12">
    <w:name w:val="Default Paragraph Font"/>
    <w:autoRedefine/>
    <w:semiHidden/>
    <w:unhideWhenUsed/>
    <w:qFormat/>
    <w:uiPriority w:val="1"/>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5">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7">
    <w:name w:val="annotation text"/>
    <w:basedOn w:val="1"/>
    <w:link w:val="29"/>
    <w:autoRedefine/>
    <w:unhideWhenUsed/>
    <w:qFormat/>
    <w:uiPriority w:val="99"/>
    <w:pPr>
      <w:jc w:val="left"/>
    </w:pPr>
  </w:style>
  <w:style w:type="paragraph" w:styleId="8">
    <w:name w:val="Body Text"/>
    <w:basedOn w:val="1"/>
    <w:autoRedefine/>
    <w:qFormat/>
    <w:uiPriority w:val="0"/>
    <w:pPr>
      <w:spacing w:after="120" w:afterLines="0" w:afterAutospacing="0"/>
    </w:pPr>
  </w:style>
  <w:style w:type="paragraph" w:styleId="9">
    <w:name w:val="Normal (Web)"/>
    <w:basedOn w:val="1"/>
    <w:autoRedefine/>
    <w:qFormat/>
    <w:uiPriority w:val="0"/>
    <w:rPr>
      <w:sz w:val="24"/>
    </w:rPr>
  </w:style>
  <w:style w:type="paragraph" w:styleId="10">
    <w:name w:val="annotation subject"/>
    <w:basedOn w:val="7"/>
    <w:next w:val="7"/>
    <w:link w:val="28"/>
    <w:autoRedefine/>
    <w:qFormat/>
    <w:uiPriority w:val="0"/>
    <w:pPr>
      <w:spacing w:line="580" w:lineRule="exact"/>
      <w:ind w:firstLine="0" w:firstLineChars="0"/>
      <w:jc w:val="center"/>
    </w:pPr>
    <w:rPr>
      <w:b/>
      <w:bCs/>
      <w:sz w:val="24"/>
    </w:rPr>
  </w:style>
  <w:style w:type="character" w:customStyle="1" w:styleId="13">
    <w:name w:val="标题 1 字符1"/>
    <w:basedOn w:val="12"/>
    <w:link w:val="2"/>
    <w:autoRedefine/>
    <w:qFormat/>
    <w:uiPriority w:val="9"/>
    <w:rPr>
      <w:rFonts w:ascii="宋体" w:hAnsi="宋体" w:eastAsia="宋体" w:cs="宋体"/>
      <w:bCs/>
      <w:kern w:val="44"/>
      <w:sz w:val="32"/>
      <w:szCs w:val="44"/>
    </w:rPr>
  </w:style>
  <w:style w:type="character" w:customStyle="1" w:styleId="14">
    <w:name w:val="标题 2 字符"/>
    <w:link w:val="3"/>
    <w:autoRedefine/>
    <w:qFormat/>
    <w:uiPriority w:val="9"/>
    <w:rPr>
      <w:rFonts w:ascii="Times New Roman" w:hAnsi="Times New Roman" w:eastAsia="宋体" w:cs="Times New Roman"/>
      <w:b/>
      <w:color w:val="000000" w:themeColor="text1"/>
      <w:kern w:val="2"/>
      <w:sz w:val="24"/>
      <w:szCs w:val="30"/>
      <w:lang w:val="en-US" w:eastAsia="zh-CN" w:bidi="ar-SA"/>
      <w14:textFill>
        <w14:solidFill>
          <w14:schemeClr w14:val="tx1"/>
        </w14:solidFill>
      </w14:textFill>
    </w:rPr>
  </w:style>
  <w:style w:type="paragraph" w:customStyle="1" w:styleId="15">
    <w:name w:val="报告标题1"/>
    <w:basedOn w:val="2"/>
    <w:next w:val="1"/>
    <w:link w:val="16"/>
    <w:autoRedefine/>
    <w:qFormat/>
    <w:uiPriority w:val="0"/>
    <w:pPr>
      <w:spacing w:before="240" w:after="120" w:line="580" w:lineRule="exact"/>
      <w:ind w:firstLine="0" w:firstLineChars="0"/>
      <w:jc w:val="center"/>
    </w:pPr>
    <w:rPr>
      <w:rFonts w:ascii="Times New Roman" w:hAnsi="Times New Roman" w:eastAsia="宋体" w:cs="Times New Roman"/>
      <w:color w:val="000000" w:themeColor="text1"/>
      <w:sz w:val="36"/>
      <w14:textFill>
        <w14:solidFill>
          <w14:schemeClr w14:val="tx1"/>
        </w14:solidFill>
      </w14:textFill>
    </w:rPr>
  </w:style>
  <w:style w:type="character" w:customStyle="1" w:styleId="16">
    <w:name w:val="报告标题1 字符"/>
    <w:basedOn w:val="17"/>
    <w:link w:val="15"/>
    <w:autoRedefine/>
    <w:qFormat/>
    <w:uiPriority w:val="0"/>
    <w:rPr>
      <w:rFonts w:ascii="Times New Roman" w:hAnsi="Times New Roman" w:eastAsia="宋体" w:cs="Times New Roman"/>
      <w:color w:val="000000" w:themeColor="text1"/>
      <w:kern w:val="44"/>
      <w:sz w:val="36"/>
      <w:szCs w:val="44"/>
      <w14:textFill>
        <w14:solidFill>
          <w14:schemeClr w14:val="tx1"/>
        </w14:solidFill>
      </w14:textFill>
    </w:rPr>
  </w:style>
  <w:style w:type="character" w:customStyle="1" w:styleId="17">
    <w:name w:val="标题 1 字符"/>
    <w:basedOn w:val="12"/>
    <w:link w:val="2"/>
    <w:autoRedefine/>
    <w:qFormat/>
    <w:uiPriority w:val="9"/>
    <w:rPr>
      <w:rFonts w:ascii="Times New Roman" w:hAnsi="Times New Roman" w:eastAsia="宋体"/>
      <w:b/>
      <w:bCs/>
      <w:color w:val="000000" w:themeColor="text1"/>
      <w:kern w:val="44"/>
      <w:sz w:val="30"/>
      <w:szCs w:val="44"/>
      <w14:textFill>
        <w14:solidFill>
          <w14:schemeClr w14:val="tx1"/>
        </w14:solidFill>
      </w14:textFill>
    </w:rPr>
  </w:style>
  <w:style w:type="character" w:customStyle="1" w:styleId="18">
    <w:name w:val="标题 3 字符"/>
    <w:basedOn w:val="12"/>
    <w:link w:val="4"/>
    <w:autoRedefine/>
    <w:semiHidden/>
    <w:qFormat/>
    <w:uiPriority w:val="9"/>
    <w:rPr>
      <w:rFonts w:ascii="Times New Roman" w:hAnsi="Times New Roman" w:eastAsia="宋体" w:cstheme="minorBidi"/>
      <w:b/>
      <w:bCs/>
      <w:kern w:val="2"/>
      <w:sz w:val="32"/>
      <w:szCs w:val="32"/>
    </w:rPr>
  </w:style>
  <w:style w:type="character" w:customStyle="1" w:styleId="19">
    <w:name w:val="标题 4 字符"/>
    <w:basedOn w:val="12"/>
    <w:link w:val="6"/>
    <w:autoRedefine/>
    <w:semiHidden/>
    <w:qFormat/>
    <w:uiPriority w:val="9"/>
    <w:rPr>
      <w:rFonts w:ascii="Times New Roman" w:hAnsi="Times New Roman" w:eastAsia="宋体" w:cstheme="majorBidi"/>
      <w:b/>
      <w:bCs/>
      <w:kern w:val="2"/>
      <w:sz w:val="28"/>
      <w:szCs w:val="28"/>
    </w:rPr>
  </w:style>
  <w:style w:type="paragraph" w:customStyle="1" w:styleId="20">
    <w:name w:val="报告正文"/>
    <w:basedOn w:val="1"/>
    <w:link w:val="21"/>
    <w:autoRedefine/>
    <w:qFormat/>
    <w:uiPriority w:val="0"/>
    <w:pPr>
      <w:spacing w:line="520" w:lineRule="exact"/>
      <w:ind w:firstLine="200" w:firstLineChars="200"/>
    </w:pPr>
    <w:rPr>
      <w:rFonts w:ascii="Times New Roman" w:hAnsi="Times New Roman" w:eastAsia="宋体"/>
      <w:sz w:val="28"/>
      <w:szCs w:val="28"/>
    </w:rPr>
  </w:style>
  <w:style w:type="character" w:customStyle="1" w:styleId="21">
    <w:name w:val="报告正文 字符"/>
    <w:basedOn w:val="12"/>
    <w:link w:val="20"/>
    <w:autoRedefine/>
    <w:qFormat/>
    <w:uiPriority w:val="0"/>
    <w:rPr>
      <w:rFonts w:ascii="Times New Roman" w:hAnsi="Times New Roman" w:eastAsia="宋体"/>
      <w:sz w:val="28"/>
      <w:szCs w:val="28"/>
    </w:rPr>
  </w:style>
  <w:style w:type="paragraph" w:customStyle="1" w:styleId="22">
    <w:name w:val="标题二"/>
    <w:basedOn w:val="3"/>
    <w:next w:val="20"/>
    <w:link w:val="23"/>
    <w:autoRedefine/>
    <w:qFormat/>
    <w:uiPriority w:val="0"/>
    <w:pPr>
      <w:keepNext/>
      <w:keepLines/>
      <w:snapToGrid w:val="0"/>
      <w:spacing w:before="50" w:beforeLines="50" w:after="50" w:afterLines="50" w:line="580" w:lineRule="exact"/>
      <w:ind w:left="0" w:leftChars="0" w:right="0" w:rightChars="0" w:firstLine="0" w:firstLineChars="0"/>
      <w:jc w:val="left"/>
    </w:pPr>
    <w:rPr>
      <w:rFonts w:cs="Times New Roman"/>
      <w:color w:val="000080"/>
      <w:kern w:val="30"/>
      <w:sz w:val="30"/>
    </w:rPr>
  </w:style>
  <w:style w:type="character" w:customStyle="1" w:styleId="23">
    <w:name w:val="标题二 字符"/>
    <w:basedOn w:val="12"/>
    <w:link w:val="22"/>
    <w:autoRedefine/>
    <w:qFormat/>
    <w:uiPriority w:val="0"/>
    <w:rPr>
      <w:rFonts w:ascii="Times New Roman" w:hAnsi="Times New Roman" w:eastAsia="宋体"/>
      <w:b/>
      <w:color w:val="000080"/>
      <w:kern w:val="30"/>
      <w:sz w:val="30"/>
      <w:szCs w:val="32"/>
    </w:rPr>
  </w:style>
  <w:style w:type="paragraph" w:customStyle="1" w:styleId="24">
    <w:name w:val="标题三"/>
    <w:basedOn w:val="4"/>
    <w:next w:val="20"/>
    <w:link w:val="25"/>
    <w:autoRedefine/>
    <w:qFormat/>
    <w:uiPriority w:val="0"/>
    <w:pPr>
      <w:snapToGrid w:val="0"/>
      <w:spacing w:before="50" w:beforeLines="50" w:after="50" w:afterLines="50" w:line="240" w:lineRule="auto"/>
      <w:ind w:firstLine="0" w:firstLineChars="0"/>
      <w:jc w:val="left"/>
    </w:pPr>
    <w:rPr>
      <w:rFonts w:cs="Times New Roman"/>
      <w:bCs w:val="0"/>
      <w:color w:val="auto"/>
      <w:sz w:val="30"/>
      <w:szCs w:val="30"/>
    </w:rPr>
  </w:style>
  <w:style w:type="character" w:customStyle="1" w:styleId="25">
    <w:name w:val="标题三 字符"/>
    <w:basedOn w:val="12"/>
    <w:link w:val="24"/>
    <w:autoRedefine/>
    <w:qFormat/>
    <w:uiPriority w:val="0"/>
    <w:rPr>
      <w:rFonts w:eastAsia="宋体" w:cs="Times New Roman"/>
      <w:b/>
      <w:color w:val="auto"/>
      <w:sz w:val="30"/>
      <w:szCs w:val="30"/>
    </w:rPr>
  </w:style>
  <w:style w:type="paragraph" w:customStyle="1" w:styleId="26">
    <w:name w:val="环评表格"/>
    <w:basedOn w:val="1"/>
    <w:link w:val="27"/>
    <w:autoRedefine/>
    <w:qFormat/>
    <w:uiPriority w:val="0"/>
    <w:pPr>
      <w:snapToGrid w:val="0"/>
      <w:spacing w:line="240" w:lineRule="auto"/>
      <w:ind w:firstLine="0" w:firstLineChars="0"/>
      <w:jc w:val="center"/>
    </w:pPr>
    <w:rPr>
      <w:bCs/>
      <w:sz w:val="24"/>
      <w:szCs w:val="18"/>
    </w:rPr>
  </w:style>
  <w:style w:type="character" w:customStyle="1" w:styleId="27">
    <w:name w:val="环评表格 字符"/>
    <w:basedOn w:val="12"/>
    <w:link w:val="26"/>
    <w:autoRedefine/>
    <w:qFormat/>
    <w:uiPriority w:val="0"/>
    <w:rPr>
      <w:rFonts w:ascii="Times New Roman" w:hAnsi="Times New Roman" w:eastAsia="宋体" w:cs="Times New Roman"/>
      <w:bCs/>
      <w:sz w:val="24"/>
      <w:szCs w:val="18"/>
    </w:rPr>
  </w:style>
  <w:style w:type="character" w:customStyle="1" w:styleId="28">
    <w:name w:val="批注主题 字符"/>
    <w:basedOn w:val="29"/>
    <w:link w:val="10"/>
    <w:autoRedefine/>
    <w:semiHidden/>
    <w:qFormat/>
    <w:uiPriority w:val="99"/>
    <w:rPr>
      <w:rFonts w:eastAsia="宋体"/>
      <w:b/>
      <w:bCs/>
      <w:kern w:val="2"/>
      <w:sz w:val="24"/>
      <w:szCs w:val="24"/>
    </w:rPr>
  </w:style>
  <w:style w:type="character" w:customStyle="1" w:styleId="29">
    <w:name w:val="批注文字 字符"/>
    <w:basedOn w:val="12"/>
    <w:link w:val="7"/>
    <w:autoRedefine/>
    <w:qFormat/>
    <w:uiPriority w:val="99"/>
    <w:rPr>
      <w:kern w:val="2"/>
      <w:szCs w:val="24"/>
    </w:rPr>
  </w:style>
  <w:style w:type="paragraph" w:customStyle="1" w:styleId="30">
    <w:name w:val="样式1"/>
    <w:basedOn w:val="1"/>
    <w:autoRedefine/>
    <w:qFormat/>
    <w:uiPriority w:val="0"/>
    <w:pPr>
      <w:adjustRightInd w:val="0"/>
      <w:spacing w:line="240" w:lineRule="auto"/>
      <w:ind w:firstLine="0" w:firstLineChars="0"/>
      <w:jc w:val="center"/>
    </w:pPr>
    <w:rPr>
      <w:rFonts w:ascii="Times New Roman" w:hAnsi="Times New Roman"/>
      <w:sz w:val="24"/>
      <w:szCs w:val="24"/>
    </w:rPr>
  </w:style>
  <w:style w:type="paragraph" w:customStyle="1" w:styleId="31">
    <w:name w:val="B表格字体"/>
    <w:qFormat/>
    <w:uiPriority w:val="0"/>
    <w:pPr>
      <w:adjustRightInd/>
      <w:snapToGrid/>
      <w:spacing w:line="240" w:lineRule="auto"/>
      <w:ind w:firstLine="0" w:firstLineChars="0"/>
      <w:jc w:val="center"/>
    </w:pPr>
    <w:rPr>
      <w:rFonts w:ascii="Times New Roman" w:hAnsi="Times New Roman" w:eastAsia="宋体" w:cs="Times New Roman"/>
      <w:sz w:val="21"/>
      <w:szCs w:val="21"/>
      <w:lang w:val="en-US" w:eastAsia="zh-CN" w:bidi="ar-SA"/>
    </w:rPr>
  </w:style>
  <w:style w:type="paragraph" w:customStyle="1" w:styleId="32">
    <w:name w:val="表格文字"/>
    <w:qFormat/>
    <w:uiPriority w:val="0"/>
    <w:pPr>
      <w:tabs>
        <w:tab w:val="left" w:pos="480"/>
      </w:tabs>
      <w:adjustRightInd w:val="0"/>
      <w:snapToGrid w:val="0"/>
      <w:spacing w:line="240" w:lineRule="auto"/>
      <w:ind w:firstLine="0" w:firstLineChars="0"/>
      <w:jc w:val="center"/>
    </w:pPr>
    <w:rPr>
      <w:rFonts w:ascii="Times New Roman" w:hAnsi="Times New Roman" w:eastAsia="宋体" w:cs="Times New Roman"/>
      <w:kern w:val="44"/>
      <w:sz w:val="21"/>
      <w:szCs w:val="2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525</Words>
  <Characters>572</Characters>
  <Lines>0</Lines>
  <Paragraphs>0</Paragraphs>
  <TotalTime>11</TotalTime>
  <ScaleCrop>false</ScaleCrop>
  <LinksUpToDate>false</LinksUpToDate>
  <CharactersWithSpaces>574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2022-10-28T00:23:00Z</dcterms:created>
  <dc:creator>侯士田</dc:creator>
  <cp:lastModifiedBy>J.Chen</cp:lastModifiedBy>
  <dcterms:modified xsi:type="dcterms:W3CDTF">2025-02-14T01:34:38Z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CA4DB367D7D3478C8552E993F54B6CDD</vt:lpwstr>
  </property>
  <property fmtid="{D5CDD505-2E9C-101B-9397-08002B2CF9AE}" pid="4" name="KSOTemplateDocerSaveRecord">
    <vt:lpwstr>eyJoZGlkIjoiYWJjYWI0MjFkYWE2NjhlMzU4ZGI1MGM1MjE1OTc2OTAiLCJ1c2VySWQiOiIxMTg3ODAwNiJ9</vt:lpwstr>
  </property>
</Properties>
</file>